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7D63" w14:textId="33F5E9FF" w:rsidR="003C4B25" w:rsidRPr="003C4B25" w:rsidRDefault="003C4B25" w:rsidP="003C4B25">
      <w:pPr>
        <w:tabs>
          <w:tab w:val="center" w:pos="1701"/>
          <w:tab w:val="center" w:pos="6237"/>
        </w:tabs>
        <w:jc w:val="both"/>
        <w:rPr>
          <w:rFonts w:ascii="Times New Roman" w:hAnsi="Times New Roman" w:cs="Times New Roman"/>
          <w:b/>
          <w:bCs/>
        </w:rPr>
      </w:pPr>
      <w:r>
        <w:rPr>
          <w:rFonts w:ascii="Times New Roman" w:hAnsi="Times New Roman" w:cs="Times New Roman"/>
          <w:lang w:val="en-US"/>
        </w:rPr>
        <w:t xml:space="preserve"> </w:t>
      </w:r>
      <w:r>
        <w:rPr>
          <w:rFonts w:ascii="Times New Roman" w:hAnsi="Times New Roman" w:cs="Times New Roman"/>
          <w:lang w:val="en-US"/>
        </w:rPr>
        <w:tab/>
      </w:r>
      <w:r w:rsidRPr="001D629A">
        <w:rPr>
          <w:rFonts w:ascii="Times New Roman" w:hAnsi="Times New Roman" w:cs="Times New Roman"/>
        </w:rPr>
        <w:t>UBND TỈNH AN GIANG</w:t>
      </w:r>
      <w:r w:rsidRPr="003C4B25">
        <w:rPr>
          <w:rFonts w:ascii="Times New Roman" w:hAnsi="Times New Roman" w:cs="Times New Roman"/>
        </w:rPr>
        <w:tab/>
      </w:r>
      <w:r w:rsidRPr="003C4B25">
        <w:rPr>
          <w:rFonts w:ascii="Times New Roman" w:hAnsi="Times New Roman" w:cs="Times New Roman"/>
          <w:b/>
          <w:bCs/>
        </w:rPr>
        <w:t>CỘNG HÒA XÃ HỘI CHỦ NGHĨA VIỆT NAM</w:t>
      </w:r>
    </w:p>
    <w:p w14:paraId="7D8B1488" w14:textId="77777777" w:rsidR="003C4B25" w:rsidRPr="001D629A" w:rsidRDefault="003C4B25" w:rsidP="003C4B25">
      <w:pPr>
        <w:tabs>
          <w:tab w:val="center" w:pos="1701"/>
          <w:tab w:val="center" w:pos="6237"/>
        </w:tabs>
        <w:jc w:val="both"/>
        <w:rPr>
          <w:rFonts w:ascii="Times New Roman" w:hAnsi="Times New Roman" w:cs="Times New Roman"/>
          <w:b/>
          <w:bCs/>
          <w:sz w:val="28"/>
          <w:szCs w:val="28"/>
        </w:rPr>
      </w:pPr>
      <w:r w:rsidRPr="003C4B25">
        <w:rPr>
          <w:rFonts w:ascii="Times New Roman" w:hAnsi="Times New Roman" w:cs="Times New Roman"/>
          <w:b/>
        </w:rPr>
        <w:tab/>
      </w:r>
      <w:r w:rsidRPr="001D629A">
        <w:rPr>
          <w:rFonts w:ascii="Times New Roman" w:hAnsi="Times New Roman" w:cs="Times New Roman"/>
          <w:b/>
          <w:sz w:val="28"/>
          <w:szCs w:val="28"/>
        </w:rPr>
        <w:t>SỞ TÀI CHÍNH</w:t>
      </w:r>
      <w:r w:rsidRPr="003C4B25">
        <w:rPr>
          <w:rFonts w:ascii="Times New Roman" w:hAnsi="Times New Roman" w:cs="Times New Roman"/>
          <w:b/>
        </w:rPr>
        <w:tab/>
      </w:r>
      <w:r w:rsidRPr="001D629A">
        <w:rPr>
          <w:rFonts w:ascii="Times New Roman" w:hAnsi="Times New Roman" w:cs="Times New Roman"/>
          <w:b/>
          <w:bCs/>
          <w:sz w:val="28"/>
          <w:szCs w:val="28"/>
        </w:rPr>
        <w:t>Độc lập - Tự do - Hạnh phúc</w:t>
      </w:r>
    </w:p>
    <w:p w14:paraId="5B9F8FE1" w14:textId="5F296AAD" w:rsidR="003C4B25" w:rsidRPr="003C4B25" w:rsidRDefault="003C4B25" w:rsidP="003C4B25">
      <w:pPr>
        <w:tabs>
          <w:tab w:val="center" w:pos="1701"/>
          <w:tab w:val="center" w:pos="6237"/>
        </w:tabs>
        <w:spacing w:before="240"/>
        <w:jc w:val="both"/>
        <w:rPr>
          <w:rFonts w:ascii="Times New Roman" w:hAnsi="Times New Roman" w:cs="Times New Roman"/>
          <w:i/>
          <w:iCs/>
          <w:sz w:val="26"/>
          <w:szCs w:val="26"/>
        </w:rPr>
      </w:pPr>
      <w:r w:rsidRPr="003C4B25">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2C0B992E" wp14:editId="3D7A15C7">
                <wp:simplePos x="0" y="0"/>
                <wp:positionH relativeFrom="column">
                  <wp:posOffset>891540</wp:posOffset>
                </wp:positionH>
                <wp:positionV relativeFrom="paragraph">
                  <wp:posOffset>38735</wp:posOffset>
                </wp:positionV>
                <wp:extent cx="342900" cy="0"/>
                <wp:effectExtent l="5715"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0850C" id="_x0000_t32" coordsize="21600,21600" o:spt="32" o:oned="t" path="m,l21600,21600e" filled="f">
                <v:path arrowok="t" fillok="f" o:connecttype="none"/>
                <o:lock v:ext="edit" shapetype="t"/>
              </v:shapetype>
              <v:shape id="Straight Arrow Connector 2" o:spid="_x0000_s1026" type="#_x0000_t32" style="position:absolute;margin-left:70.2pt;margin-top:3.0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"/>
            </w:pict>
          </mc:Fallback>
        </mc:AlternateContent>
      </w:r>
      <w:r w:rsidRPr="003C4B25">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54005187" wp14:editId="4BE49E40">
                <wp:simplePos x="0" y="0"/>
                <wp:positionH relativeFrom="column">
                  <wp:posOffset>2872740</wp:posOffset>
                </wp:positionH>
                <wp:positionV relativeFrom="paragraph">
                  <wp:posOffset>10160</wp:posOffset>
                </wp:positionV>
                <wp:extent cx="2160270" cy="0"/>
                <wp:effectExtent l="5715"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6537D" id="Straight Arrow Connector 1" o:spid="_x0000_s1026" type="#_x0000_t32" style="position:absolute;margin-left:226.2pt;margin-top:.8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"/>
            </w:pict>
          </mc:Fallback>
        </mc:AlternateContent>
      </w:r>
      <w:r w:rsidRPr="003C4B25">
        <w:rPr>
          <w:rFonts w:ascii="Times New Roman" w:hAnsi="Times New Roman" w:cs="Times New Roman"/>
          <w:sz w:val="26"/>
          <w:szCs w:val="26"/>
        </w:rPr>
        <w:tab/>
      </w:r>
      <w:r w:rsidRPr="003C4B25">
        <w:rPr>
          <w:rFonts w:ascii="Times New Roman" w:hAnsi="Times New Roman" w:cs="Times New Roman"/>
          <w:sz w:val="26"/>
          <w:szCs w:val="26"/>
        </w:rPr>
        <w:tab/>
      </w:r>
      <w:r w:rsidRPr="003C4B25">
        <w:rPr>
          <w:rFonts w:ascii="Times New Roman" w:hAnsi="Times New Roman" w:cs="Times New Roman"/>
          <w:i/>
          <w:iCs/>
          <w:sz w:val="26"/>
          <w:szCs w:val="26"/>
        </w:rPr>
        <w:t xml:space="preserve">An Giang, ngày </w:t>
      </w:r>
      <w:r w:rsidR="00583A73">
        <w:rPr>
          <w:rFonts w:ascii="Times New Roman" w:hAnsi="Times New Roman" w:cs="Times New Roman"/>
          <w:i/>
          <w:iCs/>
          <w:sz w:val="26"/>
          <w:szCs w:val="26"/>
          <w:lang w:val="en-US"/>
        </w:rPr>
        <w:t>04</w:t>
      </w:r>
      <w:r w:rsidRPr="003C4B25">
        <w:rPr>
          <w:rFonts w:ascii="Times New Roman" w:hAnsi="Times New Roman" w:cs="Times New Roman"/>
          <w:i/>
          <w:iCs/>
          <w:sz w:val="26"/>
          <w:szCs w:val="26"/>
        </w:rPr>
        <w:t xml:space="preserve"> tháng</w:t>
      </w:r>
      <w:r w:rsidR="00583A73">
        <w:rPr>
          <w:rFonts w:ascii="Times New Roman" w:hAnsi="Times New Roman" w:cs="Times New Roman"/>
          <w:i/>
          <w:iCs/>
          <w:sz w:val="26"/>
          <w:szCs w:val="26"/>
          <w:lang w:val="en-US"/>
        </w:rPr>
        <w:t xml:space="preserve"> 6</w:t>
      </w:r>
      <w:r w:rsidRPr="003C4B25">
        <w:rPr>
          <w:rFonts w:ascii="Times New Roman" w:hAnsi="Times New Roman" w:cs="Times New Roman"/>
          <w:i/>
          <w:iCs/>
          <w:sz w:val="26"/>
          <w:szCs w:val="26"/>
        </w:rPr>
        <w:t xml:space="preserve"> năm 2025</w:t>
      </w:r>
    </w:p>
    <w:p w14:paraId="1E63E4C3" w14:textId="77777777" w:rsidR="003C4B25" w:rsidRDefault="003C4B25" w:rsidP="003C4B25">
      <w:pPr>
        <w:spacing w:before="120"/>
        <w:jc w:val="center"/>
        <w:rPr>
          <w:rFonts w:ascii="Times New Roman" w:hAnsi="Times New Roman" w:cs="Times New Roman"/>
          <w:b/>
          <w:bCs/>
          <w:sz w:val="28"/>
          <w:szCs w:val="28"/>
        </w:rPr>
      </w:pPr>
    </w:p>
    <w:p w14:paraId="303C0F62" w14:textId="54041668" w:rsidR="00BA1B8B" w:rsidRPr="00BA1B8B" w:rsidRDefault="00316958" w:rsidP="00BA1B8B">
      <w:pPr>
        <w:spacing w:before="120"/>
        <w:jc w:val="center"/>
        <w:rPr>
          <w:rFonts w:ascii="Times New Roman" w:hAnsi="Times New Roman" w:cs="Times New Roman"/>
          <w:b/>
          <w:bCs/>
          <w:sz w:val="28"/>
          <w:szCs w:val="28"/>
        </w:rPr>
      </w:pPr>
      <w:r w:rsidRPr="00BA1B8B">
        <w:rPr>
          <w:rFonts w:ascii="Times New Roman" w:hAnsi="Times New Roman" w:cs="Times New Roman"/>
          <w:b/>
          <w:bCs/>
          <w:sz w:val="28"/>
          <w:szCs w:val="28"/>
        </w:rPr>
        <w:t xml:space="preserve">BẢN SO SÁNH, THUYẾT MINH </w:t>
      </w:r>
      <w:r>
        <w:rPr>
          <w:rFonts w:ascii="Times New Roman" w:hAnsi="Times New Roman" w:cs="Times New Roman"/>
          <w:b/>
          <w:bCs/>
          <w:sz w:val="28"/>
          <w:szCs w:val="28"/>
          <w:lang w:val="en-US"/>
        </w:rPr>
        <w:br/>
      </w:r>
      <w:r w:rsidRPr="00BA1B8B">
        <w:rPr>
          <w:rFonts w:ascii="Times New Roman" w:hAnsi="Times New Roman" w:cs="Times New Roman"/>
          <w:b/>
          <w:bCs/>
          <w:sz w:val="28"/>
          <w:szCs w:val="28"/>
        </w:rPr>
        <w:t xml:space="preserve">Nội </w:t>
      </w:r>
      <w:r w:rsidR="00A67562" w:rsidRPr="00BA1B8B">
        <w:rPr>
          <w:rFonts w:ascii="Times New Roman" w:hAnsi="Times New Roman" w:cs="Times New Roman"/>
          <w:b/>
          <w:bCs/>
          <w:sz w:val="28"/>
          <w:szCs w:val="28"/>
        </w:rPr>
        <w:t>dung dự thảo</w:t>
      </w:r>
      <w:r w:rsidR="00A67562">
        <w:rPr>
          <w:rFonts w:ascii="Times New Roman" w:hAnsi="Times New Roman" w:cs="Times New Roman"/>
          <w:b/>
          <w:bCs/>
          <w:sz w:val="28"/>
          <w:szCs w:val="28"/>
          <w:lang w:val="en-US"/>
        </w:rPr>
        <w:t xml:space="preserve"> Nghị quyết </w:t>
      </w:r>
      <w:r w:rsidR="002427D9">
        <w:rPr>
          <w:rFonts w:ascii="Times New Roman" w:hAnsi="Times New Roman" w:cs="Times New Roman"/>
          <w:b/>
          <w:bCs/>
          <w:sz w:val="28"/>
          <w:szCs w:val="28"/>
          <w:lang w:val="en-US"/>
        </w:rPr>
        <w:t>q</w:t>
      </w:r>
      <w:r w:rsidR="002427D9" w:rsidRPr="002427D9">
        <w:rPr>
          <w:rFonts w:ascii="Times New Roman" w:hAnsi="Times New Roman" w:cs="Times New Roman"/>
          <w:b/>
          <w:bCs/>
          <w:sz w:val="28"/>
          <w:szCs w:val="28"/>
          <w:lang w:val="en-US"/>
        </w:rPr>
        <w:t>uy định thẩm quyền quyết định phê duyệt nhiệm vụ và dự toán kinh phí thực hiện mua sắm, sửa chữa, cải tạo, nâng cấp tài sản, trang thiết bị; sửa chữa, cải tạo, nâng cấp, mở rộng, xây dựng mới hạng mục công trình trong các dự án đã đầu tư xây dựng; thuê hàng hóa, dịch vụ của cơ quan, tổ chức, đơn vị sử dụng kinh phí chi thường xuyên ngân sách nhà nước thuộc phạm vi quản lý của tỉnh An Giang</w:t>
      </w:r>
      <w:r w:rsidR="00A67562">
        <w:rPr>
          <w:rFonts w:ascii="Times New Roman" w:hAnsi="Times New Roman" w:cs="Times New Roman"/>
          <w:b/>
          <w:bCs/>
          <w:sz w:val="28"/>
          <w:szCs w:val="28"/>
          <w:lang w:val="en-US"/>
        </w:rPr>
        <w:t xml:space="preserve"> </w:t>
      </w:r>
      <w:r w:rsidR="00A67562" w:rsidRPr="00BA1B8B">
        <w:rPr>
          <w:rFonts w:ascii="Times New Roman" w:hAnsi="Times New Roman" w:cs="Times New Roman"/>
          <w:b/>
          <w:bCs/>
          <w:sz w:val="28"/>
          <w:szCs w:val="28"/>
        </w:rPr>
        <w:t>với quy định pháp luật hiện hành</w:t>
      </w:r>
    </w:p>
    <w:p w14:paraId="5E2D10E1" w14:textId="1AF6AD0F" w:rsidR="00BA1B8B" w:rsidRPr="00BA1B8B" w:rsidRDefault="00207374" w:rsidP="00BA1B8B">
      <w:pPr>
        <w:spacing w:before="120"/>
        <w:rPr>
          <w:rFonts w:ascii="Times New Roman" w:hAnsi="Times New Roman" w:cs="Times New Roman"/>
          <w:b/>
          <w:bCs/>
          <w:sz w:val="28"/>
          <w:szCs w:val="28"/>
        </w:rPr>
      </w:pPr>
      <w:r>
        <w:rPr>
          <w:rFonts w:ascii="Times New Roman" w:hAnsi="Times New Roman" w:cs="Times New Roman"/>
          <w:b/>
          <w:bCs/>
          <w:noProof/>
          <w:sz w:val="28"/>
          <w:szCs w:val="28"/>
          <w:lang w:val="en-US" w:eastAsia="en-US"/>
        </w:rPr>
        <mc:AlternateContent>
          <mc:Choice Requires="wps">
            <w:drawing>
              <wp:anchor distT="0" distB="0" distL="114300" distR="114300" simplePos="0" relativeHeight="251661312" behindDoc="0" locked="0" layoutInCell="1" allowOverlap="1" wp14:anchorId="0459DDD6" wp14:editId="2AF93761">
                <wp:simplePos x="0" y="0"/>
                <wp:positionH relativeFrom="column">
                  <wp:posOffset>1908597</wp:posOffset>
                </wp:positionH>
                <wp:positionV relativeFrom="paragraph">
                  <wp:posOffset>20955</wp:posOffset>
                </wp:positionV>
                <wp:extent cx="193886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9C0F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3pt,1.65pt" to="30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" strokecolor="black [3200]" strokeweight=".5pt">
                <v:stroke joinstyle="miter"/>
              </v:line>
            </w:pict>
          </mc:Fallback>
        </mc:AlternateContent>
      </w:r>
    </w:p>
    <w:tbl>
      <w:tblPr>
        <w:tblOverlap w:val="neve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896"/>
        <w:gridCol w:w="7328"/>
      </w:tblGrid>
      <w:tr w:rsidR="00BA1B8B" w:rsidRPr="00372D7D" w14:paraId="2597AF28" w14:textId="77777777" w:rsidTr="00316958">
        <w:trPr>
          <w:tblHeader/>
        </w:trPr>
        <w:tc>
          <w:tcPr>
            <w:tcW w:w="1028" w:type="pct"/>
            <w:shd w:val="clear" w:color="auto" w:fill="FFFFFF"/>
            <w:vAlign w:val="center"/>
          </w:tcPr>
          <w:p w14:paraId="01ED7C42" w14:textId="77777777" w:rsidR="00BA1B8B" w:rsidRPr="00372D7D" w:rsidRDefault="00BA1B8B" w:rsidP="00316958">
            <w:pPr>
              <w:jc w:val="center"/>
              <w:rPr>
                <w:rFonts w:ascii="Times New Roman" w:hAnsi="Times New Roman" w:cs="Times New Roman"/>
                <w:b/>
                <w:bCs/>
              </w:rPr>
            </w:pPr>
            <w:r w:rsidRPr="00372D7D">
              <w:rPr>
                <w:rFonts w:ascii="Times New Roman" w:hAnsi="Times New Roman" w:cs="Times New Roman"/>
                <w:b/>
                <w:bCs/>
              </w:rPr>
              <w:t>D</w:t>
            </w:r>
            <w:r w:rsidRPr="00372D7D">
              <w:rPr>
                <w:rFonts w:ascii="Times New Roman" w:hAnsi="Times New Roman" w:cs="Times New Roman"/>
                <w:b/>
                <w:bCs/>
                <w:lang w:val="en-US"/>
              </w:rPr>
              <w:t>Ự</w:t>
            </w:r>
            <w:r w:rsidRPr="00372D7D">
              <w:rPr>
                <w:rFonts w:ascii="Times New Roman" w:hAnsi="Times New Roman" w:cs="Times New Roman"/>
                <w:b/>
                <w:bCs/>
              </w:rPr>
              <w:t xml:space="preserve"> THẢO VĂN BẢN</w:t>
            </w:r>
          </w:p>
        </w:tc>
        <w:tc>
          <w:tcPr>
            <w:tcW w:w="3972" w:type="pct"/>
            <w:shd w:val="clear" w:color="auto" w:fill="FFFFFF"/>
            <w:vAlign w:val="center"/>
          </w:tcPr>
          <w:p w14:paraId="0EC48E67" w14:textId="77777777" w:rsidR="00BA1B8B" w:rsidRPr="00372D7D" w:rsidRDefault="00BA1B8B" w:rsidP="00316958">
            <w:pPr>
              <w:jc w:val="center"/>
              <w:rPr>
                <w:rFonts w:ascii="Times New Roman" w:hAnsi="Times New Roman" w:cs="Times New Roman"/>
                <w:b/>
                <w:bCs/>
              </w:rPr>
            </w:pPr>
            <w:r w:rsidRPr="00372D7D">
              <w:rPr>
                <w:rFonts w:ascii="Times New Roman" w:hAnsi="Times New Roman" w:cs="Times New Roman"/>
                <w:b/>
                <w:bCs/>
              </w:rPr>
              <w:t>THUYẾT MINH</w:t>
            </w:r>
          </w:p>
        </w:tc>
      </w:tr>
      <w:tr w:rsidR="00BA1B8B" w:rsidRPr="00372D7D" w14:paraId="7A8D34EE" w14:textId="77777777" w:rsidTr="00316958">
        <w:tc>
          <w:tcPr>
            <w:tcW w:w="1028" w:type="pct"/>
            <w:shd w:val="clear" w:color="auto" w:fill="FFFFFF"/>
            <w:vAlign w:val="center"/>
          </w:tcPr>
          <w:p w14:paraId="472762AE" w14:textId="32C2054D" w:rsidR="00BA1B8B" w:rsidRPr="00372D7D" w:rsidRDefault="00372D7D" w:rsidP="00316958">
            <w:pPr>
              <w:ind w:left="142" w:right="192"/>
              <w:jc w:val="both"/>
              <w:rPr>
                <w:rFonts w:ascii="Times New Roman" w:hAnsi="Times New Roman" w:cs="Times New Roman"/>
                <w:b/>
                <w:bCs/>
              </w:rPr>
            </w:pPr>
            <w:r w:rsidRPr="00372D7D">
              <w:rPr>
                <w:rFonts w:ascii="Times New Roman" w:hAnsi="Times New Roman" w:cs="Times New Roman"/>
                <w:b/>
                <w:bCs/>
              </w:rPr>
              <w:t>Điều 1. Phạm vi điều chỉnh</w:t>
            </w:r>
          </w:p>
        </w:tc>
        <w:tc>
          <w:tcPr>
            <w:tcW w:w="3972" w:type="pct"/>
            <w:shd w:val="clear" w:color="auto" w:fill="FFFFFF"/>
            <w:vAlign w:val="center"/>
          </w:tcPr>
          <w:p w14:paraId="09CE267C" w14:textId="77777777" w:rsidR="00CA356C" w:rsidRPr="00CA356C" w:rsidRDefault="00CA356C" w:rsidP="00FC2DCB">
            <w:pPr>
              <w:spacing w:before="60" w:after="60"/>
              <w:ind w:left="92" w:right="57" w:firstLine="248"/>
              <w:jc w:val="both"/>
              <w:rPr>
                <w:rFonts w:ascii="Times New Roman" w:hAnsi="Times New Roman" w:cs="Times New Roman"/>
              </w:rPr>
            </w:pPr>
            <w:r w:rsidRPr="00CA356C">
              <w:rPr>
                <w:rFonts w:ascii="Times New Roman" w:hAnsi="Times New Roman" w:cs="Times New Roman"/>
              </w:rPr>
              <w:t>1. Quy định thẩm quyền quyết định phê duyệt nhiệm vụ và dự toán kinh phí mua sắm, sửa chữa, cải tạo, nâng cấp tài sản, trang thiết bị sử dụng kinh phí chi thường xuyên ngân sách nhà nước của các cơ quan, đơn vị thuộc phạm vi quản lý trên địa bàn tỉnh An Giang tại khoản 3 Điều 5 Nghị định số 98/2025/NĐ-CP của Chính phủ.</w:t>
            </w:r>
          </w:p>
          <w:p w14:paraId="44A72B5A" w14:textId="77777777" w:rsidR="00CA356C" w:rsidRPr="00CA356C" w:rsidRDefault="00CA356C" w:rsidP="00FC2DCB">
            <w:pPr>
              <w:spacing w:before="60" w:after="60"/>
              <w:ind w:left="92" w:right="57" w:firstLine="248"/>
              <w:jc w:val="both"/>
              <w:rPr>
                <w:rFonts w:ascii="Times New Roman" w:hAnsi="Times New Roman" w:cs="Times New Roman"/>
              </w:rPr>
            </w:pPr>
            <w:r w:rsidRPr="00CA356C">
              <w:rPr>
                <w:rFonts w:ascii="Times New Roman" w:hAnsi="Times New Roman" w:cs="Times New Roman"/>
              </w:rPr>
              <w:t>2. Quy định thẩm quyền quyết định phê duyệt nhiệm vụ và dự toán kinh phí thực hiện nhiệm vụ sửa chữa, cải tạo, nâng cấp, mở rộng, xây dựng mới hạng mục công trình trong các dự án đã đầu tư xây dựng sử dụng kinh phí chi thường xuyên ngân sách nhà nước của các cơ quan, đơn vị thuộc phạm vi quản lý trên địa bàn tỉnh An Giang tại điểm b khoản 2 Điều 8 Nghị định số 98/2025/NĐ-CP của Chính phủ.</w:t>
            </w:r>
          </w:p>
          <w:p w14:paraId="4D060225" w14:textId="5C370066" w:rsidR="00BA1B8B" w:rsidRPr="00372D7D" w:rsidRDefault="00CA356C" w:rsidP="00FC2DCB">
            <w:pPr>
              <w:spacing w:before="60" w:after="60"/>
              <w:ind w:left="92" w:right="57" w:firstLine="248"/>
              <w:jc w:val="both"/>
              <w:rPr>
                <w:rFonts w:ascii="Times New Roman" w:hAnsi="Times New Roman" w:cs="Times New Roman"/>
                <w:b/>
                <w:bCs/>
              </w:rPr>
            </w:pPr>
            <w:r w:rsidRPr="00CA356C">
              <w:rPr>
                <w:rFonts w:ascii="Times New Roman" w:hAnsi="Times New Roman" w:cs="Times New Roman"/>
              </w:rPr>
              <w:t>3. Quy định thẩm quyền quyết định phê duyệt nhiệm vụ và dự toán kinh phí thực hiện thuê hàng hóa, dịch vụ sử dụng kinh phí chi thường xuyên ngân sách nhà nước của các cơ quan, đơn vị thuộc phạm vi quản lý trên địa bàn tỉnh An Giang tại khoản 1 Điều 11 Nghị định số 98/2025/NĐ-CP của Chính phủ.</w:t>
            </w:r>
          </w:p>
        </w:tc>
      </w:tr>
      <w:tr w:rsidR="00BA1B8B" w:rsidRPr="00372D7D" w14:paraId="5CE0827A" w14:textId="77777777" w:rsidTr="00316958">
        <w:tc>
          <w:tcPr>
            <w:tcW w:w="1028" w:type="pct"/>
            <w:shd w:val="clear" w:color="auto" w:fill="FFFFFF"/>
            <w:vAlign w:val="center"/>
          </w:tcPr>
          <w:p w14:paraId="16349975" w14:textId="63A0541D" w:rsidR="00BA1B8B" w:rsidRPr="00372D7D" w:rsidRDefault="00372D7D" w:rsidP="00316958">
            <w:pPr>
              <w:ind w:left="142" w:right="192"/>
              <w:jc w:val="both"/>
              <w:rPr>
                <w:rFonts w:ascii="Times New Roman" w:hAnsi="Times New Roman" w:cs="Times New Roman"/>
                <w:b/>
                <w:bCs/>
              </w:rPr>
            </w:pPr>
            <w:r w:rsidRPr="00372D7D">
              <w:rPr>
                <w:rFonts w:ascii="Times New Roman" w:hAnsi="Times New Roman" w:cs="Times New Roman"/>
                <w:b/>
                <w:bCs/>
              </w:rPr>
              <w:t>Điều 2. Đối tượng áp dụng</w:t>
            </w:r>
          </w:p>
        </w:tc>
        <w:tc>
          <w:tcPr>
            <w:tcW w:w="3972" w:type="pct"/>
            <w:shd w:val="clear" w:color="auto" w:fill="FFFFFF"/>
            <w:vAlign w:val="center"/>
          </w:tcPr>
          <w:p w14:paraId="47C19886" w14:textId="77777777" w:rsidR="00CA356C" w:rsidRPr="00CA356C" w:rsidRDefault="00CA356C" w:rsidP="00FC2DCB">
            <w:pPr>
              <w:spacing w:before="60" w:after="60"/>
              <w:ind w:left="92" w:right="57" w:firstLine="248"/>
              <w:jc w:val="both"/>
              <w:rPr>
                <w:rFonts w:ascii="Times New Roman" w:hAnsi="Times New Roman" w:cs="Times New Roman"/>
              </w:rPr>
            </w:pPr>
            <w:r w:rsidRPr="00CA356C">
              <w:rPr>
                <w:rFonts w:ascii="Times New Roman" w:hAnsi="Times New Roman" w:cs="Times New Roman"/>
              </w:rPr>
              <w:t>1. Các cơ quan nhà nước, tổ chức chính trị và các tổ chức chính trị-xã hội.</w:t>
            </w:r>
          </w:p>
          <w:p w14:paraId="69051C2D" w14:textId="77777777" w:rsidR="00CA356C" w:rsidRPr="00CA356C" w:rsidRDefault="00CA356C" w:rsidP="00FC2DCB">
            <w:pPr>
              <w:spacing w:before="60" w:after="60"/>
              <w:ind w:left="92" w:right="57" w:firstLine="248"/>
              <w:jc w:val="both"/>
              <w:rPr>
                <w:rFonts w:ascii="Times New Roman" w:hAnsi="Times New Roman" w:cs="Times New Roman"/>
              </w:rPr>
            </w:pPr>
            <w:r w:rsidRPr="00CA356C">
              <w:rPr>
                <w:rFonts w:ascii="Times New Roman" w:hAnsi="Times New Roman" w:cs="Times New Roman"/>
              </w:rPr>
              <w:t>2. Các đơn vị sự nghiệp công lập.</w:t>
            </w:r>
          </w:p>
          <w:p w14:paraId="0416DFD7" w14:textId="77777777" w:rsidR="00CA356C" w:rsidRPr="00CA356C" w:rsidRDefault="00CA356C" w:rsidP="00FC2DCB">
            <w:pPr>
              <w:spacing w:before="60" w:after="60"/>
              <w:ind w:left="92" w:right="57" w:firstLine="248"/>
              <w:jc w:val="both"/>
              <w:rPr>
                <w:rFonts w:ascii="Times New Roman" w:hAnsi="Times New Roman" w:cs="Times New Roman"/>
              </w:rPr>
            </w:pPr>
            <w:r w:rsidRPr="00CA356C">
              <w:rPr>
                <w:rFonts w:ascii="Times New Roman" w:hAnsi="Times New Roman" w:cs="Times New Roman"/>
              </w:rPr>
              <w:t>3. Các tổ chức, cá nhân khác có liên quan đến sử dụng kinh phí chi thường xuyên ngân sách nhà nước để mua sắm, sửa chữa, cải tạo, nâng cấp tài sản, trang thiết bị; thuê hàng hóa, dịch vụ; cải tạo, nâng cấp, mở rộng, xây dựng mới hạng mục công trình trong các dự án đã đầu tư xây dựng.</w:t>
            </w:r>
          </w:p>
          <w:p w14:paraId="7AEFCEE1" w14:textId="451905C7" w:rsidR="00BA1B8B" w:rsidRPr="00372D7D" w:rsidRDefault="00E66E85" w:rsidP="00FC2DCB">
            <w:pPr>
              <w:spacing w:before="60" w:after="60"/>
              <w:ind w:left="92" w:right="57" w:firstLine="248"/>
              <w:jc w:val="both"/>
              <w:rPr>
                <w:rFonts w:ascii="Times New Roman" w:hAnsi="Times New Roman" w:cs="Times New Roman"/>
              </w:rPr>
            </w:pPr>
            <w:r w:rsidRPr="00E66E85">
              <w:rPr>
                <w:rFonts w:ascii="Times New Roman" w:hAnsi="Times New Roman" w:cs="Times New Roman"/>
              </w:rPr>
              <w:t>4. Các đối tượng quy định tại khoản 1, 2, 3 Điều này, sau đây được gọi chung là cơ quan, tổ chức, đơn vị.</w:t>
            </w:r>
          </w:p>
        </w:tc>
      </w:tr>
      <w:tr w:rsidR="00BA1B8B" w:rsidRPr="00372D7D" w14:paraId="43082E11" w14:textId="77777777" w:rsidTr="00316958">
        <w:tc>
          <w:tcPr>
            <w:tcW w:w="1028" w:type="pct"/>
            <w:shd w:val="clear" w:color="auto" w:fill="FFFFFF"/>
            <w:vAlign w:val="center"/>
          </w:tcPr>
          <w:p w14:paraId="2BFA5C29" w14:textId="57F84986" w:rsidR="00BA1B8B" w:rsidRPr="00372D7D" w:rsidRDefault="00372D7D" w:rsidP="00316958">
            <w:pPr>
              <w:ind w:left="142" w:right="192"/>
              <w:jc w:val="both"/>
              <w:rPr>
                <w:rFonts w:ascii="Times New Roman" w:hAnsi="Times New Roman" w:cs="Times New Roman"/>
                <w:b/>
                <w:bCs/>
              </w:rPr>
            </w:pPr>
            <w:r w:rsidRPr="00372D7D">
              <w:rPr>
                <w:rFonts w:ascii="Times New Roman" w:hAnsi="Times New Roman" w:cs="Times New Roman"/>
                <w:b/>
                <w:bCs/>
              </w:rPr>
              <w:t xml:space="preserve">Điều 3. </w:t>
            </w:r>
            <w:r w:rsidR="00E66E85" w:rsidRPr="00E66E85">
              <w:rPr>
                <w:rFonts w:ascii="Times New Roman" w:hAnsi="Times New Roman" w:cs="Times New Roman"/>
                <w:b/>
                <w:bCs/>
              </w:rPr>
              <w:t xml:space="preserve">Thẩm quyền quyết định phê duyệt nhiệm vụ và dự toán kinh </w:t>
            </w:r>
            <w:r w:rsidR="00E66E85" w:rsidRPr="00E66E85">
              <w:rPr>
                <w:rFonts w:ascii="Times New Roman" w:hAnsi="Times New Roman" w:cs="Times New Roman"/>
                <w:b/>
                <w:bCs/>
              </w:rPr>
              <w:lastRenderedPageBreak/>
              <w:t>phí thực hiện mua sắm, sửa chữa, cải tạo, nâng cấp tài sản, trang thiết bị; thuê hàng hóa, dịch vụ dưới 45 tỷ đồng/nhiệm vụ</w:t>
            </w:r>
          </w:p>
        </w:tc>
        <w:tc>
          <w:tcPr>
            <w:tcW w:w="3972" w:type="pct"/>
            <w:shd w:val="clear" w:color="auto" w:fill="FFFFFF"/>
            <w:vAlign w:val="center"/>
          </w:tcPr>
          <w:p w14:paraId="485B4143"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lastRenderedPageBreak/>
              <w:t>1. Đối với nguồn chi thường xuyên ngân sách nhà nước cấp tỉnh (bao gồm nguồn chi thường xuyên ngân sách nhà nước được bổ sung từ ngân sách cấp trên)</w:t>
            </w:r>
          </w:p>
          <w:p w14:paraId="6FE37C61"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 xml:space="preserve">a) Giám đốc Sở quản lý chuyên ngành (Sở Nông nghiệp và Môi trường, Sở Công thương, Sở Khoa học và Công nghệ, Sở Xây dựng, Sở Giáo dục </w:t>
            </w:r>
            <w:r w:rsidRPr="00E66E85">
              <w:rPr>
                <w:rFonts w:ascii="Times New Roman" w:hAnsi="Times New Roman" w:cs="Times New Roman"/>
              </w:rPr>
              <w:lastRenderedPageBreak/>
              <w:t>Đào tạo, Sở Y tế, Sở Văn hóa, Thể thao và Du lịch) quyết định phê duyệt nhiệm vụ và dự toán kinh phí từ 05 tỷ đồng đến dưới 45 tỷ đồng/nhiệm vụ (trừ trường hợp quy định tại khoản 4 Điều này).</w:t>
            </w:r>
          </w:p>
          <w:p w14:paraId="05279BAA"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b) Người đứng đầu các cơ quan, tổ chức, đơn vị cấp tỉnh là đơn vị dự toán cấp I quyết định phê duyệt nhiệm vụ và dự toán kinh phí từ 200 triệu đồng đến dưới 05 tỷ đồng/nhiệm vụ tại cơ quan, tổ chức, đơn vị và các cơ quan, tổ chức, đơn vị thuộc phạm vi quản lý (trừ trường hợp quy định tại khoản 4 Điều này).</w:t>
            </w:r>
          </w:p>
          <w:p w14:paraId="5B8B7723"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2. Đối với nguồn chi thường xuyên ngân sách nhà nước cấp huyện (bao gồm nguồn chi thường xuyên ngân sách nhà nước được bổ sung từ ngân sách cấp trên): Trưởng phòng chuyên môn cấp huyện (Phòng Nông nghiệp và Môi trường; Phòng Kinh tế - Hạ tầng; Phòng Kinh tế, Hạ tầng và Đô thị; Phòng Giáo dục và Đào tạo; Phòng Y tế; Phòng Văn hóa, Khoa học và Thông tin) quyết định phê duyệt nhiệm vụ và dự toán kinh phí từ 200 triệu đồng đến dưới 45 tỷ đồng/nhiệm vụ (trừ trường hợp quy định tại khoản 4 Điều này).</w:t>
            </w:r>
          </w:p>
          <w:p w14:paraId="10666444"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3. Đối với nguồn chi thường xuyên ngân sách nhà nước cấp xã (bao gồm nguồn chi thường xuyên ngân sách nhà nước được bổ sung từ ngân sách cấp trên): Ủy ban nhân dân cấp xã quyết định phê duyệt nhiệm vụ và dự toán kinh phí từ 200 triệu đồng đến dưới 45 tỷ đồng/nhiệm vụ (trừ trường hợp quy định tại khoản 4 Điều này).</w:t>
            </w:r>
          </w:p>
          <w:p w14:paraId="4321436B"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4. Người đứng đầu đơn vị sự nghiệp công lập tự đảm bảo chi thường xuyên và chi đầu tư, đơn vị sự nghiệp công lập tự đảm bảo chi thường xuyên quyết định phê duyệt nhiệm vụ và dự toán kinh phí phục vụ hoạt động của đơn vị dưới 45 tỷ đồng/nhiệm vụ.</w:t>
            </w:r>
          </w:p>
          <w:p w14:paraId="3EAE6291" w14:textId="6E243AFB" w:rsidR="00BA1B8B" w:rsidRPr="00372D7D"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5. Người đứng đầu cơ quan, tổ chức, đơn vị dự toán các cấp (trừ trường hợp quy định tại khoản 1, 2, 3, 4 Điều này) quyết định phê duyệt nhiệm vụ và dự toán kinh phí dưới 200 triệu đồng/nhiệm vụ tại cơ quan, tổ chức, đơn vị.</w:t>
            </w:r>
          </w:p>
        </w:tc>
      </w:tr>
      <w:tr w:rsidR="00372D7D" w:rsidRPr="00372D7D" w14:paraId="5EAA01A8" w14:textId="77777777" w:rsidTr="00316958">
        <w:tc>
          <w:tcPr>
            <w:tcW w:w="1028" w:type="pct"/>
            <w:shd w:val="clear" w:color="auto" w:fill="FFFFFF"/>
            <w:vAlign w:val="center"/>
          </w:tcPr>
          <w:p w14:paraId="2D69A8F6" w14:textId="2DEF523F" w:rsidR="00372D7D" w:rsidRPr="00372D7D" w:rsidRDefault="00E66E85" w:rsidP="00316958">
            <w:pPr>
              <w:ind w:left="142" w:right="192"/>
              <w:jc w:val="both"/>
              <w:rPr>
                <w:rFonts w:ascii="Times New Roman" w:hAnsi="Times New Roman" w:cs="Times New Roman"/>
                <w:b/>
                <w:bCs/>
              </w:rPr>
            </w:pPr>
            <w:r w:rsidRPr="00E66E85">
              <w:rPr>
                <w:rFonts w:ascii="Times New Roman" w:hAnsi="Times New Roman" w:cs="Times New Roman"/>
                <w:b/>
                <w:bCs/>
              </w:rPr>
              <w:lastRenderedPageBreak/>
              <w:t xml:space="preserve">Điều 4. Thẩm quyền quyết định phê duyệt nhiệm vụ và kinh phí thực hiện sửa chữa, cải tạo, nâng cấp, mở rộng, xây dựng mới hạng mục công trình trong các dự án đã đầu tư xây dựng của cơ quan, tổ chức, đơn vị sử dụng kinh phí chi thường xuyên ngân sách nhà nước </w:t>
            </w:r>
            <w:r w:rsidRPr="00E66E85">
              <w:rPr>
                <w:rFonts w:ascii="Times New Roman" w:hAnsi="Times New Roman" w:cs="Times New Roman"/>
                <w:b/>
                <w:bCs/>
              </w:rPr>
              <w:lastRenderedPageBreak/>
              <w:t>dưới 20 tỷ đồng/nhiệm vụ</w:t>
            </w:r>
          </w:p>
        </w:tc>
        <w:tc>
          <w:tcPr>
            <w:tcW w:w="3972" w:type="pct"/>
            <w:shd w:val="clear" w:color="auto" w:fill="FFFFFF"/>
            <w:vAlign w:val="center"/>
          </w:tcPr>
          <w:p w14:paraId="4DBD8C77"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lastRenderedPageBreak/>
              <w:t>1. Đối với nguồn chi thường xuyên ngân sách nhà nước cấp tỉnh (bao gồm nguồn chi thường xuyên ngân sách nhà nước được bổ sung từ ngân sách cấp trên)</w:t>
            </w:r>
          </w:p>
          <w:p w14:paraId="7BC2988E"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a) Giám đốc Sở Xây dựng quyết định phê duyệt nhiệm vụ và kinh phí từ 05 tỷ đồng đến dưới 20 tỷ đồng/nhiệm vụ (trừ trường hợp tại khoản 4 Điều này).</w:t>
            </w:r>
          </w:p>
          <w:p w14:paraId="73636BEE"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b) Người đứng đầu các cơ quan, tổ chức, đơn vị cấp tỉnh là đơn vị dự toán cấp I quyết định phê duyệt nhiệm vụ và kinh phí từ 200 triệu đồng đến dưới 05 tỷ đồng/nhiệm vụ tại cơ quan, tổ chức, đơn vị và các cơ quan, tổ chức, đơn vị thuộc phạm vi quản lý (trừ trường hợp tại khoản 4 Điều này).</w:t>
            </w:r>
          </w:p>
          <w:p w14:paraId="48307C7A"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2. Đối với nguồn chi thường xuyên ngân sách nhà nước cấp huyện (bao gồm nguồn chi thường xuyên ngân sách nhà nước được bổ sung từ ngân sách cấp trên): Trưởng phòng chuyên môn cấp huyện (Phòng Kinh tế - Hạ tầng; Phòng Kinh tế, Hạ tầng và Đô thị) quyết định phê duyệt nhiệm vụ và kinh phí từ 200 triệu đồng đến dưới 20 tỷ đồng/nhiệm vụ (trừ trường hợp tại khoản 4 Điều này).</w:t>
            </w:r>
          </w:p>
          <w:p w14:paraId="07242745"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 xml:space="preserve">3. Đối với nguồn chi thường xuyên ngân sách nhà nước cấp xã (bao </w:t>
            </w:r>
            <w:r w:rsidRPr="00E66E85">
              <w:rPr>
                <w:rFonts w:ascii="Times New Roman" w:hAnsi="Times New Roman" w:cs="Times New Roman"/>
              </w:rPr>
              <w:lastRenderedPageBreak/>
              <w:t>gồm nguồn chi thường xuyên ngân sách nhà nước được bổ sung từ ngân sách cấp trên): Ủy ban nhân dân cấp xã quyết định phê duyệt nhiệm vụ và dự toán kinh phí từ 200 triệu đồng đến dưới 20 tỷ đồng/nhiệm vụ (trừ trường hợp quy định tại khoản 4 Điều này).</w:t>
            </w:r>
          </w:p>
          <w:p w14:paraId="11033878"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4. Người đứng đầu đơn vị sự nghiệp công lập tự đảm bảo chi thường xuyên và chi đầu tư, đơn vị sự nghiệp công lập tự đảm bảo chi thường xuyên quyết định nhiệm vụ và kinh phí phục vụ hoạt động của đơn vị dưới 20 tỷ đồng/nhiệm vụ.</w:t>
            </w:r>
          </w:p>
          <w:p w14:paraId="4983C1AE" w14:textId="439A0220" w:rsidR="00372D7D" w:rsidRPr="00372D7D"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5. Người đứng đầu các cơ quan, tổ chức, đơn vị dự toán các cấp (trừ trường hợp quy định tại khoản 1, 2, 3, 4 Điều này) quyết định phê duyệt nhiệm vụ và kinh phí dưới 200 triệu đồng/nhiệm vụ tại cơ quan, tổ chức, đơn vị.</w:t>
            </w:r>
          </w:p>
        </w:tc>
      </w:tr>
      <w:tr w:rsidR="00372D7D" w:rsidRPr="00372D7D" w14:paraId="60D01BE0" w14:textId="77777777" w:rsidTr="00316958">
        <w:tc>
          <w:tcPr>
            <w:tcW w:w="1028" w:type="pct"/>
            <w:shd w:val="clear" w:color="auto" w:fill="FFFFFF"/>
            <w:vAlign w:val="center"/>
          </w:tcPr>
          <w:p w14:paraId="448F736F" w14:textId="40FC34AF" w:rsidR="00372D7D" w:rsidRPr="00372D7D" w:rsidRDefault="00E66E85" w:rsidP="00FC2DCB">
            <w:pPr>
              <w:ind w:left="142" w:right="192"/>
              <w:jc w:val="both"/>
              <w:rPr>
                <w:rFonts w:ascii="Times New Roman" w:hAnsi="Times New Roman" w:cs="Times New Roman"/>
                <w:b/>
                <w:bCs/>
              </w:rPr>
            </w:pPr>
            <w:r w:rsidRPr="00E66E85">
              <w:rPr>
                <w:rFonts w:ascii="Times New Roman" w:hAnsi="Times New Roman" w:cs="Times New Roman"/>
                <w:b/>
                <w:bCs/>
              </w:rPr>
              <w:lastRenderedPageBreak/>
              <w:t>Điều 5. Hiệu lực thi hành và tổ chức thực hiện</w:t>
            </w:r>
          </w:p>
        </w:tc>
        <w:tc>
          <w:tcPr>
            <w:tcW w:w="3972" w:type="pct"/>
            <w:shd w:val="clear" w:color="auto" w:fill="FFFFFF"/>
            <w:vAlign w:val="center"/>
          </w:tcPr>
          <w:p w14:paraId="2982129D"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1. Nghị quyết này có hiệu lực thi hành từ ngày.... tháng 6 năm 2025.</w:t>
            </w:r>
          </w:p>
          <w:p w14:paraId="7E10DEA6"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2. Khi có quyết định của cơ quan, người có thẩm quyền về việc kết thúc hoạt động của đơn vị hành chính cấp huyện thì thẩm quyền của Trưởng phòng chuyên môn cấp huyện tại khoản 2 Điều 3 và khoản 2 Điều 4 hết hiệu lực thi thành.</w:t>
            </w:r>
          </w:p>
          <w:p w14:paraId="683A7E26" w14:textId="77777777" w:rsidR="00E66E85" w:rsidRPr="00E66E85" w:rsidRDefault="00E66E85" w:rsidP="00E66E85">
            <w:pPr>
              <w:spacing w:before="60" w:after="60"/>
              <w:ind w:left="92" w:right="57" w:firstLine="248"/>
              <w:jc w:val="both"/>
              <w:rPr>
                <w:rFonts w:ascii="Times New Roman" w:hAnsi="Times New Roman" w:cs="Times New Roman"/>
              </w:rPr>
            </w:pPr>
            <w:r w:rsidRPr="00E66E85">
              <w:rPr>
                <w:rFonts w:ascii="Times New Roman" w:hAnsi="Times New Roman" w:cs="Times New Roman"/>
              </w:rPr>
              <w:t>3. Giao Ủy ban nhân dân tỉnh tổ chức thực hiện Nghị quyết này.</w:t>
            </w:r>
          </w:p>
          <w:p w14:paraId="4E4C5119" w14:textId="2706795C" w:rsidR="00372D7D" w:rsidRPr="00E66E85" w:rsidRDefault="00E66E85" w:rsidP="00E66E85">
            <w:pPr>
              <w:spacing w:before="60" w:after="60"/>
              <w:ind w:left="92" w:right="57" w:firstLine="248"/>
              <w:jc w:val="both"/>
              <w:rPr>
                <w:rFonts w:ascii="Times New Roman" w:hAnsi="Times New Roman" w:cs="Times New Roman"/>
                <w:i/>
                <w:iCs/>
              </w:rPr>
            </w:pPr>
            <w:r w:rsidRPr="00E66E85">
              <w:rPr>
                <w:rFonts w:ascii="Times New Roman" w:hAnsi="Times New Roman" w:cs="Times New Roman"/>
                <w:i/>
                <w:iCs/>
              </w:rPr>
              <w:t>Nghị quyết này đã được Hội đồng nhân dân tỉnh An Giang Khoá X, Kỳ họp thứ 31 (chuyên đề) thông qua ngày… tháng 6 năm 2025.</w:t>
            </w:r>
          </w:p>
        </w:tc>
      </w:tr>
    </w:tbl>
    <w:p w14:paraId="0CB0AD1C" w14:textId="77777777" w:rsidR="00BA1B8B" w:rsidRPr="00BA1B8B" w:rsidRDefault="00BA1B8B" w:rsidP="00E31101">
      <w:pPr>
        <w:jc w:val="both"/>
        <w:rPr>
          <w:rFonts w:ascii="Times New Roman" w:hAnsi="Times New Roman" w:cs="Times New Roman"/>
          <w:b/>
          <w:bCs/>
          <w:spacing w:val="-4"/>
          <w:sz w:val="28"/>
          <w:szCs w:val="28"/>
          <w:lang w:val="en-US"/>
        </w:rPr>
      </w:pPr>
    </w:p>
    <w:sectPr w:rsidR="00BA1B8B" w:rsidRPr="00BA1B8B" w:rsidSect="00316958">
      <w:headerReference w:type="default" r:id="rId7"/>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0E78" w14:textId="77777777" w:rsidR="009158E5" w:rsidRDefault="009158E5" w:rsidP="00372D7D">
      <w:r>
        <w:separator/>
      </w:r>
    </w:p>
  </w:endnote>
  <w:endnote w:type="continuationSeparator" w:id="0">
    <w:p w14:paraId="5037CF10" w14:textId="77777777" w:rsidR="009158E5" w:rsidRDefault="009158E5" w:rsidP="0037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5CF2" w14:textId="77777777" w:rsidR="009158E5" w:rsidRDefault="009158E5" w:rsidP="00372D7D">
      <w:r>
        <w:separator/>
      </w:r>
    </w:p>
  </w:footnote>
  <w:footnote w:type="continuationSeparator" w:id="0">
    <w:p w14:paraId="73FA425B" w14:textId="77777777" w:rsidR="009158E5" w:rsidRDefault="009158E5" w:rsidP="0037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65703318"/>
      <w:docPartObj>
        <w:docPartGallery w:val="Page Numbers (Top of Page)"/>
        <w:docPartUnique/>
      </w:docPartObj>
    </w:sdtPr>
    <w:sdtEndPr>
      <w:rPr>
        <w:noProof/>
      </w:rPr>
    </w:sdtEndPr>
    <w:sdtContent>
      <w:p w14:paraId="60555944" w14:textId="6EF87806" w:rsidR="00316958" w:rsidRPr="00316958" w:rsidRDefault="00316958">
        <w:pPr>
          <w:pStyle w:val="Header"/>
          <w:jc w:val="center"/>
          <w:rPr>
            <w:rFonts w:ascii="Times New Roman" w:hAnsi="Times New Roman" w:cs="Times New Roman"/>
          </w:rPr>
        </w:pPr>
        <w:r w:rsidRPr="00316958">
          <w:rPr>
            <w:rFonts w:ascii="Times New Roman" w:hAnsi="Times New Roman" w:cs="Times New Roman"/>
          </w:rPr>
          <w:fldChar w:fldCharType="begin"/>
        </w:r>
        <w:r w:rsidRPr="00316958">
          <w:rPr>
            <w:rFonts w:ascii="Times New Roman" w:hAnsi="Times New Roman" w:cs="Times New Roman"/>
          </w:rPr>
          <w:instrText xml:space="preserve"> PAGE   \* MERGEFORMAT </w:instrText>
        </w:r>
        <w:r w:rsidRPr="00316958">
          <w:rPr>
            <w:rFonts w:ascii="Times New Roman" w:hAnsi="Times New Roman" w:cs="Times New Roman"/>
          </w:rPr>
          <w:fldChar w:fldCharType="separate"/>
        </w:r>
        <w:r w:rsidR="00FC2DCB">
          <w:rPr>
            <w:rFonts w:ascii="Times New Roman" w:hAnsi="Times New Roman" w:cs="Times New Roman"/>
            <w:noProof/>
          </w:rPr>
          <w:t>2</w:t>
        </w:r>
        <w:r w:rsidRPr="00316958">
          <w:rPr>
            <w:rFonts w:ascii="Times New Roman" w:hAnsi="Times New Roman" w:cs="Times New Roman"/>
            <w:noProof/>
          </w:rPr>
          <w:fldChar w:fldCharType="end"/>
        </w:r>
      </w:p>
    </w:sdtContent>
  </w:sdt>
  <w:p w14:paraId="4E307B69" w14:textId="77777777" w:rsidR="00316958" w:rsidRDefault="0031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4200"/>
    <w:multiLevelType w:val="hybridMultilevel"/>
    <w:tmpl w:val="695E9D28"/>
    <w:lvl w:ilvl="0" w:tplc="B4EA0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B25"/>
    <w:rsid w:val="00007273"/>
    <w:rsid w:val="00085DCB"/>
    <w:rsid w:val="000B4585"/>
    <w:rsid w:val="00116212"/>
    <w:rsid w:val="001D629A"/>
    <w:rsid w:val="001F7E13"/>
    <w:rsid w:val="00207374"/>
    <w:rsid w:val="002427D9"/>
    <w:rsid w:val="002C2057"/>
    <w:rsid w:val="002C2839"/>
    <w:rsid w:val="002E7AB1"/>
    <w:rsid w:val="00316958"/>
    <w:rsid w:val="003325A1"/>
    <w:rsid w:val="00372D7D"/>
    <w:rsid w:val="00393F81"/>
    <w:rsid w:val="003C4B25"/>
    <w:rsid w:val="00583A73"/>
    <w:rsid w:val="00592768"/>
    <w:rsid w:val="005D2552"/>
    <w:rsid w:val="006C329B"/>
    <w:rsid w:val="006D378E"/>
    <w:rsid w:val="00706D52"/>
    <w:rsid w:val="007373DC"/>
    <w:rsid w:val="0074610E"/>
    <w:rsid w:val="007F4F92"/>
    <w:rsid w:val="00817F23"/>
    <w:rsid w:val="009158E5"/>
    <w:rsid w:val="00940EF6"/>
    <w:rsid w:val="00947B89"/>
    <w:rsid w:val="009A1B97"/>
    <w:rsid w:val="009D154E"/>
    <w:rsid w:val="00A4369A"/>
    <w:rsid w:val="00A67562"/>
    <w:rsid w:val="00A87C94"/>
    <w:rsid w:val="00B54530"/>
    <w:rsid w:val="00BA1B8B"/>
    <w:rsid w:val="00CA356C"/>
    <w:rsid w:val="00CE32E4"/>
    <w:rsid w:val="00CF1AF4"/>
    <w:rsid w:val="00D31A06"/>
    <w:rsid w:val="00E21C22"/>
    <w:rsid w:val="00E31101"/>
    <w:rsid w:val="00E66E85"/>
    <w:rsid w:val="00F00BAD"/>
    <w:rsid w:val="00FC2DCB"/>
    <w:rsid w:val="00FF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962A"/>
  <w15:docId w15:val="{6B64B615-203B-4CA4-A830-377CE39E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240" w:lineRule="atLeast"/>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25"/>
    <w:pPr>
      <w:widowControl w:val="0"/>
      <w:spacing w:before="0" w:line="240" w:lineRule="auto"/>
      <w:ind w:firstLine="0"/>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rsid w:val="003C4B25"/>
    <w:rPr>
      <w:sz w:val="26"/>
      <w:szCs w:val="26"/>
      <w:shd w:val="clear" w:color="auto" w:fill="FFFFFF"/>
    </w:rPr>
  </w:style>
  <w:style w:type="paragraph" w:customStyle="1" w:styleId="Vnbnnidung21">
    <w:name w:val="Văn bản nội dung (2)1"/>
    <w:basedOn w:val="Normal"/>
    <w:link w:val="Vnbnnidung2"/>
    <w:uiPriority w:val="99"/>
    <w:rsid w:val="003C4B25"/>
    <w:pPr>
      <w:shd w:val="clear" w:color="auto" w:fill="FFFFFF"/>
      <w:spacing w:before="60" w:after="60" w:line="270" w:lineRule="exact"/>
      <w:ind w:hanging="340"/>
      <w:jc w:val="center"/>
    </w:pPr>
    <w:rPr>
      <w:rFonts w:ascii="Times New Roman" w:eastAsiaTheme="minorHAnsi" w:hAnsi="Times New Roman" w:cstheme="minorBidi"/>
      <w:color w:val="auto"/>
      <w:sz w:val="26"/>
      <w:szCs w:val="26"/>
      <w:lang w:val="en-US" w:eastAsia="en-US"/>
    </w:rPr>
  </w:style>
  <w:style w:type="table" w:styleId="TableGrid">
    <w:name w:val="Table Grid"/>
    <w:basedOn w:val="TableNormal"/>
    <w:uiPriority w:val="39"/>
    <w:rsid w:val="003C4B25"/>
    <w:pPr>
      <w:spacing w:before="0" w:line="240" w:lineRule="auto"/>
      <w:ind w:firstLine="0"/>
      <w:jc w:val="left"/>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29B"/>
    <w:pPr>
      <w:ind w:left="720"/>
      <w:contextualSpacing/>
    </w:pPr>
  </w:style>
  <w:style w:type="paragraph" w:styleId="Header">
    <w:name w:val="header"/>
    <w:basedOn w:val="Normal"/>
    <w:link w:val="HeaderChar"/>
    <w:uiPriority w:val="99"/>
    <w:unhideWhenUsed/>
    <w:rsid w:val="00316958"/>
    <w:pPr>
      <w:tabs>
        <w:tab w:val="center" w:pos="4680"/>
        <w:tab w:val="right" w:pos="9360"/>
      </w:tabs>
    </w:pPr>
  </w:style>
  <w:style w:type="character" w:customStyle="1" w:styleId="HeaderChar">
    <w:name w:val="Header Char"/>
    <w:basedOn w:val="DefaultParagraphFont"/>
    <w:link w:val="Header"/>
    <w:uiPriority w:val="99"/>
    <w:rsid w:val="0031695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16958"/>
    <w:pPr>
      <w:tabs>
        <w:tab w:val="center" w:pos="4680"/>
        <w:tab w:val="right" w:pos="9360"/>
      </w:tabs>
    </w:pPr>
  </w:style>
  <w:style w:type="character" w:customStyle="1" w:styleId="FooterChar">
    <w:name w:val="Footer Char"/>
    <w:basedOn w:val="DefaultParagraphFont"/>
    <w:link w:val="Footer"/>
    <w:uiPriority w:val="99"/>
    <w:rsid w:val="00316958"/>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2025-05-10T10:26:00Z</dcterms:created>
  <dcterms:modified xsi:type="dcterms:W3CDTF">2025-06-04T22:24:00Z</dcterms:modified>
</cp:coreProperties>
</file>