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0A0" w:firstRow="1" w:lastRow="0" w:firstColumn="1" w:lastColumn="0" w:noHBand="0" w:noVBand="0"/>
      </w:tblPr>
      <w:tblGrid>
        <w:gridCol w:w="3119"/>
        <w:gridCol w:w="6237"/>
      </w:tblGrid>
      <w:tr w:rsidR="002A2731">
        <w:tc>
          <w:tcPr>
            <w:tcW w:w="3119" w:type="dxa"/>
          </w:tcPr>
          <w:p w:rsidR="002A2731" w:rsidRPr="00FB7AC8" w:rsidRDefault="002A2731" w:rsidP="00FB7AC8">
            <w:pPr>
              <w:spacing w:after="0" w:line="240" w:lineRule="auto"/>
              <w:rPr>
                <w:sz w:val="26"/>
                <w:szCs w:val="26"/>
              </w:rPr>
            </w:pPr>
            <w:r w:rsidRPr="00FB7AC8">
              <w:rPr>
                <w:sz w:val="26"/>
                <w:szCs w:val="26"/>
              </w:rPr>
              <w:t>UBND TỈNH AN GIANG</w:t>
            </w:r>
          </w:p>
          <w:p w:rsidR="002A2731" w:rsidRPr="00B5491D" w:rsidRDefault="002A2731" w:rsidP="00FB7AC8">
            <w:pPr>
              <w:spacing w:after="0" w:line="240" w:lineRule="auto"/>
              <w:jc w:val="center"/>
              <w:rPr>
                <w:b/>
                <w:bCs/>
                <w:sz w:val="26"/>
                <w:szCs w:val="26"/>
              </w:rPr>
            </w:pPr>
            <w:r w:rsidRPr="00B5491D">
              <w:rPr>
                <w:b/>
                <w:bCs/>
                <w:sz w:val="26"/>
                <w:szCs w:val="26"/>
              </w:rPr>
              <w:t>SỞ TÀI CHÍNH</w:t>
            </w:r>
          </w:p>
          <w:p w:rsidR="002A2731" w:rsidRPr="00B5491D" w:rsidRDefault="009A317D" w:rsidP="00A055E9">
            <w:pPr>
              <w:spacing w:before="200" w:after="0" w:line="240" w:lineRule="auto"/>
              <w:jc w:val="center"/>
              <w:rPr>
                <w:sz w:val="26"/>
                <w:szCs w:val="26"/>
              </w:rPr>
            </w:pPr>
            <w:r w:rsidRPr="00B5491D">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549275</wp:posOffset>
                      </wp:positionH>
                      <wp:positionV relativeFrom="paragraph">
                        <wp:posOffset>38735</wp:posOffset>
                      </wp:positionV>
                      <wp:extent cx="600075" cy="0"/>
                      <wp:effectExtent l="10160" t="10160" r="8890" b="889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89F201"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3.05pt" to="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" strokeweight=".5pt">
                      <v:stroke joinstyle="miter"/>
                    </v:line>
                  </w:pict>
                </mc:Fallback>
              </mc:AlternateContent>
            </w:r>
            <w:r w:rsidR="002A2731" w:rsidRPr="00B5491D">
              <w:rPr>
                <w:sz w:val="26"/>
                <w:szCs w:val="26"/>
              </w:rPr>
              <w:t>Số:</w:t>
            </w:r>
            <w:r w:rsidR="00395FFD">
              <w:rPr>
                <w:sz w:val="26"/>
                <w:szCs w:val="26"/>
              </w:rPr>
              <w:t xml:space="preserve"> </w:t>
            </w:r>
            <w:r w:rsidR="000C46E2">
              <w:rPr>
                <w:sz w:val="26"/>
                <w:szCs w:val="26"/>
              </w:rPr>
              <w:t xml:space="preserve">         </w:t>
            </w:r>
            <w:r w:rsidR="002A2731" w:rsidRPr="00B5491D">
              <w:rPr>
                <w:sz w:val="26"/>
                <w:szCs w:val="26"/>
              </w:rPr>
              <w:t>/TTr-STC</w:t>
            </w:r>
          </w:p>
        </w:tc>
        <w:tc>
          <w:tcPr>
            <w:tcW w:w="6237" w:type="dxa"/>
          </w:tcPr>
          <w:p w:rsidR="002A2731" w:rsidRPr="00FB7AC8" w:rsidRDefault="002A2731" w:rsidP="00FB7AC8">
            <w:pPr>
              <w:spacing w:after="0" w:line="240" w:lineRule="auto"/>
              <w:rPr>
                <w:b/>
                <w:bCs/>
                <w:sz w:val="26"/>
                <w:szCs w:val="26"/>
              </w:rPr>
            </w:pPr>
            <w:r w:rsidRPr="00FB7AC8">
              <w:rPr>
                <w:b/>
                <w:bCs/>
                <w:sz w:val="26"/>
                <w:szCs w:val="26"/>
              </w:rPr>
              <w:t>CỘNG HÒA XÃ HỘI CHỦ NGHĨA VIỆT NAM</w:t>
            </w:r>
          </w:p>
          <w:p w:rsidR="002A2731" w:rsidRPr="00FB7AC8" w:rsidRDefault="002A2731" w:rsidP="00FB7AC8">
            <w:pPr>
              <w:spacing w:after="0" w:line="240" w:lineRule="auto"/>
              <w:jc w:val="center"/>
              <w:rPr>
                <w:b/>
                <w:bCs/>
              </w:rPr>
            </w:pPr>
            <w:r w:rsidRPr="00FB7AC8">
              <w:rPr>
                <w:b/>
                <w:bCs/>
              </w:rPr>
              <w:t>Độc lập – Tự do – Hạnh Phúc</w:t>
            </w:r>
          </w:p>
          <w:p w:rsidR="002A2731" w:rsidRPr="00B5491D" w:rsidRDefault="009A317D" w:rsidP="00DD46E4">
            <w:pPr>
              <w:spacing w:before="200" w:after="0" w:line="240" w:lineRule="auto"/>
              <w:jc w:val="center"/>
              <w:rPr>
                <w:sz w:val="26"/>
                <w:szCs w:val="26"/>
              </w:rPr>
            </w:pPr>
            <w:r w:rsidRPr="00B5491D">
              <w:rPr>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784225</wp:posOffset>
                      </wp:positionH>
                      <wp:positionV relativeFrom="paragraph">
                        <wp:posOffset>27940</wp:posOffset>
                      </wp:positionV>
                      <wp:extent cx="2219325" cy="0"/>
                      <wp:effectExtent l="0" t="0" r="2857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8B564" id="_x0000_t32" coordsize="21600,21600" o:spt="32" o:oned="t" path="m,l21600,21600e" filled="f">
                      <v:path arrowok="t" fillok="f" o:connecttype="none"/>
                      <o:lock v:ext="edit" shapetype="t"/>
                    </v:shapetype>
                    <v:shape id="Straight Arrow Connector 1" o:spid="_x0000_s1026" type="#_x0000_t32" style="position:absolute;margin-left:61.75pt;margin-top:2.2pt;width:174.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"/>
                  </w:pict>
                </mc:Fallback>
              </mc:AlternateContent>
            </w:r>
            <w:r w:rsidR="002A2731" w:rsidRPr="00B5491D">
              <w:rPr>
                <w:i/>
                <w:iCs/>
                <w:sz w:val="26"/>
                <w:szCs w:val="26"/>
              </w:rPr>
              <w:t>An Giang, ngày</w:t>
            </w:r>
            <w:r w:rsidR="000C46E2">
              <w:rPr>
                <w:i/>
                <w:iCs/>
                <w:sz w:val="26"/>
                <w:szCs w:val="26"/>
              </w:rPr>
              <w:t xml:space="preserve">       </w:t>
            </w:r>
            <w:r w:rsidR="002A2731" w:rsidRPr="00B5491D">
              <w:rPr>
                <w:i/>
                <w:iCs/>
                <w:sz w:val="26"/>
                <w:szCs w:val="26"/>
              </w:rPr>
              <w:t xml:space="preserve"> tháng </w:t>
            </w:r>
            <w:r w:rsidR="00A41B3C">
              <w:rPr>
                <w:i/>
                <w:iCs/>
                <w:sz w:val="26"/>
                <w:szCs w:val="26"/>
              </w:rPr>
              <w:t>1</w:t>
            </w:r>
            <w:r w:rsidR="00DD46E4">
              <w:rPr>
                <w:i/>
                <w:iCs/>
                <w:sz w:val="26"/>
                <w:szCs w:val="26"/>
              </w:rPr>
              <w:t>1</w:t>
            </w:r>
            <w:r w:rsidR="002A2731" w:rsidRPr="00B5491D">
              <w:rPr>
                <w:i/>
                <w:iCs/>
                <w:sz w:val="26"/>
                <w:szCs w:val="26"/>
              </w:rPr>
              <w:t xml:space="preserve"> năm 202</w:t>
            </w:r>
            <w:r w:rsidR="00625B8A" w:rsidRPr="00B5491D">
              <w:rPr>
                <w:i/>
                <w:iCs/>
                <w:sz w:val="26"/>
                <w:szCs w:val="26"/>
              </w:rPr>
              <w:t>4</w:t>
            </w:r>
          </w:p>
        </w:tc>
      </w:tr>
    </w:tbl>
    <w:tbl>
      <w:tblPr>
        <w:tblStyle w:val="TableGrid"/>
        <w:tblpPr w:leftFromText="180" w:rightFromText="180" w:vertAnchor="text" w:horzAnchor="page" w:tblpX="2206" w:tblpY="328"/>
        <w:tblW w:w="0" w:type="auto"/>
        <w:tblLook w:val="04A0" w:firstRow="1" w:lastRow="0" w:firstColumn="1" w:lastColumn="0" w:noHBand="0" w:noVBand="1"/>
      </w:tblPr>
      <w:tblGrid>
        <w:gridCol w:w="1726"/>
      </w:tblGrid>
      <w:tr w:rsidR="00C66C3F" w:rsidTr="00C66C3F">
        <w:trPr>
          <w:trHeight w:val="297"/>
        </w:trPr>
        <w:tc>
          <w:tcPr>
            <w:tcW w:w="1726" w:type="dxa"/>
          </w:tcPr>
          <w:p w:rsidR="00C66C3F" w:rsidRPr="00C66C3F" w:rsidRDefault="00C66C3F" w:rsidP="00C66C3F">
            <w:pPr>
              <w:spacing w:after="0" w:line="240" w:lineRule="auto"/>
              <w:rPr>
                <w:b/>
              </w:rPr>
            </w:pPr>
            <w:r w:rsidRPr="00C66C3F">
              <w:rPr>
                <w:b/>
              </w:rPr>
              <w:t>DỰ THẢO</w:t>
            </w:r>
          </w:p>
        </w:tc>
      </w:tr>
    </w:tbl>
    <w:p w:rsidR="00C66C3F" w:rsidRDefault="00C66C3F" w:rsidP="00C66C3F">
      <w:pPr>
        <w:tabs>
          <w:tab w:val="left" w:pos="720"/>
          <w:tab w:val="left" w:pos="1440"/>
          <w:tab w:val="left" w:pos="2160"/>
          <w:tab w:val="center" w:pos="4677"/>
        </w:tabs>
        <w:spacing w:before="360" w:after="0" w:line="240" w:lineRule="auto"/>
        <w:rPr>
          <w:b/>
        </w:rPr>
      </w:pPr>
    </w:p>
    <w:p w:rsidR="002A2731" w:rsidRDefault="002A2731" w:rsidP="00C66C3F">
      <w:pPr>
        <w:tabs>
          <w:tab w:val="left" w:pos="720"/>
          <w:tab w:val="left" w:pos="1440"/>
          <w:tab w:val="left" w:pos="2160"/>
          <w:tab w:val="center" w:pos="4677"/>
        </w:tabs>
        <w:spacing w:before="360" w:after="0" w:line="240" w:lineRule="auto"/>
        <w:jc w:val="center"/>
        <w:rPr>
          <w:b/>
          <w:bCs/>
        </w:rPr>
      </w:pPr>
      <w:r>
        <w:rPr>
          <w:b/>
          <w:bCs/>
        </w:rPr>
        <w:t>TỜ TRÌNH</w:t>
      </w:r>
    </w:p>
    <w:p w:rsidR="008D3725" w:rsidRDefault="000C46E2" w:rsidP="008D3725">
      <w:pPr>
        <w:pStyle w:val="BodyText2"/>
        <w:spacing w:after="0" w:line="240" w:lineRule="auto"/>
        <w:jc w:val="center"/>
        <w:rPr>
          <w:rFonts w:ascii="Times New Roman Bold" w:hAnsi="Times New Roman Bold"/>
          <w:b/>
          <w:bCs/>
          <w:lang w:val="nb-NO"/>
        </w:rPr>
      </w:pPr>
      <w:r>
        <w:rPr>
          <w:b/>
          <w:bCs/>
        </w:rPr>
        <w:t xml:space="preserve">Dự thảo </w:t>
      </w:r>
      <w:r w:rsidR="008D3725">
        <w:rPr>
          <w:b/>
          <w:bCs/>
        </w:rPr>
        <w:t xml:space="preserve">Quyết định của </w:t>
      </w:r>
      <w:r w:rsidR="008D3725" w:rsidRPr="00E44DC8">
        <w:rPr>
          <w:b/>
          <w:color w:val="000000"/>
        </w:rPr>
        <w:t xml:space="preserve">Ủy ban nhân dân tỉnh </w:t>
      </w:r>
      <w:r w:rsidR="00A41B3C" w:rsidRPr="00990311">
        <w:rPr>
          <w:rFonts w:ascii="Times New Roman Bold" w:hAnsi="Times New Roman Bold"/>
          <w:b/>
        </w:rPr>
        <w:t>q</w:t>
      </w:r>
      <w:r w:rsidR="00A41B3C" w:rsidRPr="00990311">
        <w:rPr>
          <w:rFonts w:ascii="Times New Roman Bold" w:hAnsi="Times New Roman Bold"/>
          <w:b/>
          <w:bCs/>
          <w:lang w:val="nb-NO"/>
        </w:rPr>
        <w:t xml:space="preserve">uy định mức </w:t>
      </w:r>
      <w:r w:rsidR="00A41B3C" w:rsidRPr="00990311">
        <w:rPr>
          <w:rFonts w:ascii="Times New Roman Bold" w:hAnsi="Times New Roman Bold"/>
          <w:b/>
          <w:bCs/>
        </w:rPr>
        <w:t>nộp tiền</w:t>
      </w:r>
      <w:r>
        <w:rPr>
          <w:rFonts w:ascii="Times New Roman Bold" w:hAnsi="Times New Roman Bold"/>
          <w:b/>
          <w:bCs/>
        </w:rPr>
        <w:t xml:space="preserve"> </w:t>
      </w:r>
      <w:r w:rsidR="00A41B3C" w:rsidRPr="00990311">
        <w:rPr>
          <w:rFonts w:ascii="Times New Roman Bold" w:hAnsi="Times New Roman Bold"/>
          <w:b/>
          <w:bCs/>
        </w:rPr>
        <w:t xml:space="preserve">để nhà nước bổ sung diện tích đất chuyên trồng lúa bị mất hoặc tăng hiệu quả sử dụng đất trồng lúa </w:t>
      </w:r>
      <w:r w:rsidR="00A41B3C" w:rsidRPr="00990311">
        <w:rPr>
          <w:rFonts w:ascii="Times New Roman Bold" w:hAnsi="Times New Roman Bold"/>
          <w:b/>
          <w:bCs/>
          <w:lang w:val="nb-NO"/>
        </w:rPr>
        <w:t xml:space="preserve">khi chuyển đất chuyên trồng lúa sang </w:t>
      </w:r>
    </w:p>
    <w:p w:rsidR="00A41B3C" w:rsidRPr="008E0371" w:rsidRDefault="00A41B3C" w:rsidP="008D3725">
      <w:pPr>
        <w:pStyle w:val="BodyText2"/>
        <w:spacing w:after="0" w:line="240" w:lineRule="auto"/>
        <w:jc w:val="center"/>
        <w:rPr>
          <w:b/>
          <w:bCs/>
        </w:rPr>
      </w:pPr>
      <w:r w:rsidRPr="00990311">
        <w:rPr>
          <w:rFonts w:ascii="Times New Roman Bold" w:hAnsi="Times New Roman Bold"/>
          <w:b/>
          <w:bCs/>
          <w:lang w:val="nb-NO"/>
        </w:rPr>
        <w:t xml:space="preserve">mục đích phi nông nghiệp </w:t>
      </w:r>
      <w:r w:rsidRPr="00990311">
        <w:rPr>
          <w:rFonts w:ascii="Times New Roman Bold" w:hAnsi="Times New Roman Bold"/>
          <w:b/>
        </w:rPr>
        <w:t>trên địa bàn tỉnh An Giang</w:t>
      </w:r>
    </w:p>
    <w:p w:rsidR="002A2731" w:rsidRPr="008E0371" w:rsidRDefault="00576D7A" w:rsidP="009430DB">
      <w:pPr>
        <w:tabs>
          <w:tab w:val="left" w:pos="720"/>
          <w:tab w:val="left" w:pos="1440"/>
          <w:tab w:val="left" w:pos="2160"/>
          <w:tab w:val="center" w:pos="4677"/>
        </w:tabs>
        <w:spacing w:after="0" w:line="240" w:lineRule="auto"/>
        <w:jc w:val="center"/>
        <w:rPr>
          <w:b/>
          <w:bCs/>
        </w:rPr>
      </w:pPr>
      <w:r>
        <w:rPr>
          <w:b/>
          <w:bCs/>
          <w:noProof/>
        </w:rPr>
        <mc:AlternateContent>
          <mc:Choice Requires="wps">
            <w:drawing>
              <wp:anchor distT="0" distB="0" distL="114300" distR="114300" simplePos="0" relativeHeight="251659776" behindDoc="0" locked="0" layoutInCell="1" allowOverlap="1">
                <wp:simplePos x="0" y="0"/>
                <wp:positionH relativeFrom="column">
                  <wp:posOffset>1986915</wp:posOffset>
                </wp:positionH>
                <wp:positionV relativeFrom="paragraph">
                  <wp:posOffset>92710</wp:posOffset>
                </wp:positionV>
                <wp:extent cx="1695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95F57"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5pt,7.3pt" to="28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ektQEAALcDAAAOAAAAZHJzL2Uyb0RvYy54bWysU8GOEzEMvSPxD1HudKar7gpGne6hK7gg&#10;qFj4gGzG6UQkceSETvv3OGk7iwAhhLh44uQ928/2rO+P3okDULIYerlctFJA0DjYsO/ll89vX72W&#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" strokecolor="black [3200]" strokeweight=".5pt">
                <v:stroke joinstyle="miter"/>
              </v:line>
            </w:pict>
          </mc:Fallback>
        </mc:AlternateContent>
      </w:r>
    </w:p>
    <w:p w:rsidR="00FC310B" w:rsidRPr="00FC310B" w:rsidRDefault="00FC310B" w:rsidP="008D3725">
      <w:pPr>
        <w:spacing w:before="120" w:after="0" w:line="240" w:lineRule="auto"/>
        <w:jc w:val="center"/>
        <w:rPr>
          <w:sz w:val="8"/>
          <w:szCs w:val="8"/>
        </w:rPr>
      </w:pPr>
    </w:p>
    <w:p w:rsidR="00D84EE7" w:rsidRDefault="002A2731" w:rsidP="008D3725">
      <w:pPr>
        <w:spacing w:before="120" w:after="0" w:line="240" w:lineRule="auto"/>
        <w:jc w:val="center"/>
      </w:pPr>
      <w:r w:rsidRPr="009C7B9B">
        <w:t xml:space="preserve">Kính gửi: </w:t>
      </w:r>
      <w:r w:rsidR="00CD69C6">
        <w:rPr>
          <w:color w:val="000000"/>
          <w:lang w:val="it-IT"/>
        </w:rPr>
        <w:t>Ủy</w:t>
      </w:r>
      <w:r w:rsidR="008D3725" w:rsidRPr="00E44DC8">
        <w:rPr>
          <w:color w:val="000000"/>
          <w:lang w:val="it-IT"/>
        </w:rPr>
        <w:t xml:space="preserve"> ban nhân dân tỉnh</w:t>
      </w:r>
    </w:p>
    <w:p w:rsidR="00FC310B" w:rsidRDefault="00FC310B" w:rsidP="00164EAA">
      <w:pPr>
        <w:widowControl w:val="0"/>
        <w:spacing w:after="120" w:line="240" w:lineRule="auto"/>
        <w:ind w:firstLine="720"/>
        <w:jc w:val="both"/>
      </w:pPr>
    </w:p>
    <w:p w:rsidR="00A41B3C" w:rsidRPr="007828F5" w:rsidRDefault="00A41B3C" w:rsidP="00592EB8">
      <w:pPr>
        <w:widowControl w:val="0"/>
        <w:spacing w:after="100" w:line="240" w:lineRule="auto"/>
        <w:ind w:firstLine="720"/>
        <w:jc w:val="both"/>
      </w:pPr>
      <w:r w:rsidRPr="007828F5">
        <w:t>Căn cứ Luật Ban hành văn bản quy phạm pháp luật ngày 22</w:t>
      </w:r>
      <w:r w:rsidR="008D3725" w:rsidRPr="007828F5">
        <w:t>/</w:t>
      </w:r>
      <w:r w:rsidRPr="007828F5">
        <w:t>6</w:t>
      </w:r>
      <w:r w:rsidR="008D3725" w:rsidRPr="007828F5">
        <w:t>/</w:t>
      </w:r>
      <w:r w:rsidRPr="007828F5">
        <w:t>2015; Luật Sửa đổi, bổ sung một số điều của Luật Ban hành văn bản quy phạm pháp luật ngày 18</w:t>
      </w:r>
      <w:r w:rsidR="008D3725" w:rsidRPr="007828F5">
        <w:t>/</w:t>
      </w:r>
      <w:r w:rsidRPr="007828F5">
        <w:t>6</w:t>
      </w:r>
      <w:r w:rsidR="008D3725" w:rsidRPr="007828F5">
        <w:t>/</w:t>
      </w:r>
      <w:r w:rsidR="0066042C" w:rsidRPr="007828F5">
        <w:t>2020;</w:t>
      </w:r>
    </w:p>
    <w:p w:rsidR="00A41B3C" w:rsidRPr="007828F5" w:rsidRDefault="00A41B3C" w:rsidP="00592EB8">
      <w:pPr>
        <w:widowControl w:val="0"/>
        <w:spacing w:after="100" w:line="240" w:lineRule="auto"/>
        <w:ind w:firstLine="720"/>
        <w:jc w:val="both"/>
      </w:pPr>
      <w:r w:rsidRPr="007828F5">
        <w:t>C</w:t>
      </w:r>
      <w:r w:rsidRPr="007828F5">
        <w:rPr>
          <w:rFonts w:hint="eastAsia"/>
        </w:rPr>
        <w:t>ă</w:t>
      </w:r>
      <w:r w:rsidRPr="007828F5">
        <w:t xml:space="preserve">n cứ Luật </w:t>
      </w:r>
      <w:r w:rsidRPr="007828F5">
        <w:rPr>
          <w:rFonts w:hint="eastAsia"/>
        </w:rPr>
        <w:t>Đ</w:t>
      </w:r>
      <w:r w:rsidRPr="007828F5">
        <w:t xml:space="preserve">ất </w:t>
      </w:r>
      <w:r w:rsidRPr="007828F5">
        <w:rPr>
          <w:rFonts w:hint="eastAsia"/>
        </w:rPr>
        <w:t>đ</w:t>
      </w:r>
      <w:r w:rsidRPr="007828F5">
        <w:t xml:space="preserve">ai số 31/2024/QH15; Luật số 43/2024/QH15 ngày 29/6/2024 Sửa </w:t>
      </w:r>
      <w:r w:rsidRPr="007828F5">
        <w:rPr>
          <w:rFonts w:hint="eastAsia"/>
        </w:rPr>
        <w:t>đ</w:t>
      </w:r>
      <w:r w:rsidRPr="007828F5">
        <w:t xml:space="preserve">ổi, bổ sung một số </w:t>
      </w:r>
      <w:r w:rsidRPr="007828F5">
        <w:rPr>
          <w:rFonts w:hint="eastAsia"/>
        </w:rPr>
        <w:t>đ</w:t>
      </w:r>
      <w:r w:rsidRPr="007828F5">
        <w:t xml:space="preserve">iều của Luật </w:t>
      </w:r>
      <w:r w:rsidRPr="007828F5">
        <w:rPr>
          <w:rFonts w:hint="eastAsia"/>
        </w:rPr>
        <w:t>Đ</w:t>
      </w:r>
      <w:r w:rsidRPr="007828F5">
        <w:t xml:space="preserve">ất </w:t>
      </w:r>
      <w:r w:rsidRPr="007828F5">
        <w:rPr>
          <w:rFonts w:hint="eastAsia"/>
        </w:rPr>
        <w:t>đ</w:t>
      </w:r>
      <w:r w:rsidRPr="007828F5">
        <w:t xml:space="preserve">ai số 31/2024/QH15, Luật Nhà ở số 27/2023/QH15, Luật Kinh doanh bất </w:t>
      </w:r>
      <w:r w:rsidRPr="007828F5">
        <w:rPr>
          <w:rFonts w:hint="eastAsia"/>
        </w:rPr>
        <w:t>đ</w:t>
      </w:r>
      <w:r w:rsidRPr="007828F5">
        <w:t>ộng sản số 29/2023/QH15 và Luật Các tổ chức tín dụng số 32/2024/QH15;</w:t>
      </w:r>
    </w:p>
    <w:p w:rsidR="00A41B3C" w:rsidRDefault="00A41B3C" w:rsidP="00592EB8">
      <w:pPr>
        <w:pStyle w:val="BodyText2"/>
        <w:spacing w:after="100" w:line="240" w:lineRule="auto"/>
        <w:ind w:firstLine="720"/>
        <w:jc w:val="both"/>
      </w:pPr>
      <w:r w:rsidRPr="007828F5">
        <w:t>Căn cứ Nghị định số 112/2024/NĐ-CP ngày 11</w:t>
      </w:r>
      <w:r w:rsidR="0066042C" w:rsidRPr="007828F5">
        <w:t>/</w:t>
      </w:r>
      <w:r w:rsidRPr="007828F5">
        <w:t>9</w:t>
      </w:r>
      <w:r w:rsidR="0066042C" w:rsidRPr="007828F5">
        <w:t>/</w:t>
      </w:r>
      <w:r w:rsidRPr="007828F5">
        <w:t>2024 của Chính phủ Quy</w:t>
      </w:r>
      <w:r w:rsidR="00DC6FC0">
        <w:t xml:space="preserve"> định chi tiết về đất trồng lúa;</w:t>
      </w:r>
    </w:p>
    <w:p w:rsidR="00592EB8" w:rsidRDefault="00680A9E" w:rsidP="00592EB8">
      <w:pPr>
        <w:pStyle w:val="BodyText2"/>
        <w:spacing w:line="240" w:lineRule="auto"/>
        <w:ind w:firstLine="720"/>
        <w:jc w:val="both"/>
        <w:rPr>
          <w:rStyle w:val="fontstyle01"/>
        </w:rPr>
      </w:pPr>
      <w:r>
        <w:t xml:space="preserve">Căn cứ </w:t>
      </w:r>
      <w:r>
        <w:rPr>
          <w:rStyle w:val="fontstyle01"/>
        </w:rPr>
        <w:t xml:space="preserve">Công văn số </w:t>
      </w:r>
      <w:r w:rsidR="00592EB8">
        <w:rPr>
          <w:rStyle w:val="fontstyle01"/>
        </w:rPr>
        <w:t>5853</w:t>
      </w:r>
      <w:r>
        <w:rPr>
          <w:rStyle w:val="fontstyle01"/>
        </w:rPr>
        <w:t xml:space="preserve">/VPUBND-KTTH ngày </w:t>
      </w:r>
      <w:r w:rsidR="00592EB8">
        <w:rPr>
          <w:rStyle w:val="fontstyle01"/>
        </w:rPr>
        <w:t>04</w:t>
      </w:r>
      <w:r>
        <w:rPr>
          <w:rStyle w:val="fontstyle01"/>
        </w:rPr>
        <w:t>/1</w:t>
      </w:r>
      <w:r w:rsidR="00592EB8">
        <w:rPr>
          <w:rStyle w:val="fontstyle01"/>
        </w:rPr>
        <w:t>1</w:t>
      </w:r>
      <w:r>
        <w:rPr>
          <w:rStyle w:val="fontstyle01"/>
        </w:rPr>
        <w:t xml:space="preserve">/2024 của </w:t>
      </w:r>
      <w:r w:rsidR="00592EB8">
        <w:rPr>
          <w:rStyle w:val="fontstyle01"/>
        </w:rPr>
        <w:t xml:space="preserve">Văn phòng </w:t>
      </w:r>
      <w:r>
        <w:rPr>
          <w:rStyle w:val="fontstyle01"/>
        </w:rPr>
        <w:t xml:space="preserve">Ủy ban nhân dân (UBND) tỉnh về việc </w:t>
      </w:r>
      <w:r w:rsidR="00592EB8" w:rsidRPr="00520BE9">
        <w:rPr>
          <w:rStyle w:val="fontstyle01"/>
        </w:rPr>
        <w:t>ban hành quy định mức nộp tiền để nhà nước bổ sung diện tích đất</w:t>
      </w:r>
      <w:r w:rsidR="00592EB8">
        <w:rPr>
          <w:rStyle w:val="fontstyle01"/>
        </w:rPr>
        <w:t xml:space="preserve"> </w:t>
      </w:r>
      <w:r w:rsidR="00592EB8" w:rsidRPr="00520BE9">
        <w:rPr>
          <w:rStyle w:val="fontstyle01"/>
        </w:rPr>
        <w:t>chuyên trồng lúa bị mất hoặc tăng hiệu quả sử dụng đất trồng lúa khi chuyển đất chuyên trồng lúa sang mục đích phi nông nghiệp trên địa bàn tỉnh An Giang</w:t>
      </w:r>
      <w:r w:rsidR="00592EB8">
        <w:rPr>
          <w:rStyle w:val="fontstyle01"/>
        </w:rPr>
        <w:t>.</w:t>
      </w:r>
    </w:p>
    <w:p w:rsidR="004521D7" w:rsidRDefault="004521D7" w:rsidP="00A055E9">
      <w:pPr>
        <w:pStyle w:val="BodyText2"/>
        <w:spacing w:after="0" w:line="240" w:lineRule="auto"/>
        <w:ind w:firstLine="720"/>
        <w:jc w:val="both"/>
        <w:rPr>
          <w:lang w:val="it-IT"/>
        </w:rPr>
      </w:pPr>
      <w:r w:rsidRPr="007828F5">
        <w:rPr>
          <w:lang w:val="it-IT"/>
        </w:rPr>
        <w:t xml:space="preserve">Sở Tài chính kính trình </w:t>
      </w:r>
      <w:r w:rsidR="00680A9E">
        <w:rPr>
          <w:lang w:val="it-IT"/>
        </w:rPr>
        <w:t xml:space="preserve">UBND </w:t>
      </w:r>
      <w:r w:rsidR="00B933E9" w:rsidRPr="007828F5">
        <w:rPr>
          <w:lang w:val="it-IT"/>
        </w:rPr>
        <w:t>tỉnh</w:t>
      </w:r>
      <w:r w:rsidRPr="007828F5">
        <w:rPr>
          <w:lang w:val="it-IT"/>
        </w:rPr>
        <w:t xml:space="preserve"> </w:t>
      </w:r>
      <w:r w:rsidR="00680A9E">
        <w:rPr>
          <w:lang w:val="it-IT"/>
        </w:rPr>
        <w:t xml:space="preserve">dự thảo </w:t>
      </w:r>
      <w:r w:rsidRPr="007828F5">
        <w:rPr>
          <w:lang w:val="it-IT"/>
        </w:rPr>
        <w:t xml:space="preserve">Quyết định </w:t>
      </w:r>
      <w:r w:rsidR="00A055E9" w:rsidRPr="00A055E9">
        <w:rPr>
          <w:bCs/>
        </w:rPr>
        <w:t xml:space="preserve">của </w:t>
      </w:r>
      <w:r w:rsidR="00A055E9" w:rsidRPr="00A055E9">
        <w:rPr>
          <w:color w:val="000000"/>
        </w:rPr>
        <w:t xml:space="preserve">Ủy ban nhân dân tỉnh </w:t>
      </w:r>
      <w:r w:rsidR="00A055E9" w:rsidRPr="00A055E9">
        <w:t>q</w:t>
      </w:r>
      <w:r w:rsidR="00A055E9" w:rsidRPr="00A055E9">
        <w:rPr>
          <w:bCs/>
          <w:lang w:val="nb-NO"/>
        </w:rPr>
        <w:t xml:space="preserve">uy định mức </w:t>
      </w:r>
      <w:r w:rsidR="00A055E9" w:rsidRPr="00A055E9">
        <w:rPr>
          <w:bCs/>
        </w:rPr>
        <w:t xml:space="preserve">nộp tiền để nhà nước bổ sung diện tích đất chuyên trồng lúa bị mất hoặc tăng hiệu quả sử dụng đất trồng lúa </w:t>
      </w:r>
      <w:r w:rsidR="00A055E9" w:rsidRPr="00A055E9">
        <w:rPr>
          <w:bCs/>
          <w:lang w:val="nb-NO"/>
        </w:rPr>
        <w:t xml:space="preserve">khi chuyển đất chuyên trồng lúa sang mục đích phi nông nghiệp </w:t>
      </w:r>
      <w:r w:rsidR="00A055E9" w:rsidRPr="00A055E9">
        <w:t>trên địa bàn tỉnh An Giang</w:t>
      </w:r>
      <w:r w:rsidRPr="007828F5">
        <w:rPr>
          <w:lang w:val="it-IT"/>
        </w:rPr>
        <w:t>, như sau:</w:t>
      </w:r>
    </w:p>
    <w:p w:rsidR="008E4586" w:rsidRPr="00D66029" w:rsidRDefault="008E4586" w:rsidP="008E4586">
      <w:pPr>
        <w:widowControl w:val="0"/>
        <w:spacing w:before="120" w:line="242" w:lineRule="auto"/>
        <w:ind w:firstLine="720"/>
        <w:jc w:val="both"/>
        <w:rPr>
          <w:b/>
          <w:bCs/>
          <w:lang w:val="nb-NO"/>
        </w:rPr>
      </w:pPr>
      <w:r w:rsidRPr="00D66029">
        <w:rPr>
          <w:b/>
          <w:bCs/>
          <w:lang w:val="nb-NO"/>
        </w:rPr>
        <w:t>I. SỰ CẦN THIẾT BAN HÀNH VĂN BẢN</w:t>
      </w:r>
    </w:p>
    <w:p w:rsidR="00352864" w:rsidRDefault="005D17BA" w:rsidP="00592EB8">
      <w:pPr>
        <w:spacing w:after="100" w:line="240" w:lineRule="auto"/>
        <w:ind w:firstLine="720"/>
        <w:jc w:val="both"/>
        <w:rPr>
          <w:iCs/>
        </w:rPr>
      </w:pPr>
      <w:r w:rsidRPr="007828F5">
        <w:rPr>
          <w:rStyle w:val="Bodytext20"/>
          <w:b/>
          <w:lang w:eastAsia="vi-VN"/>
        </w:rPr>
        <w:t>1.</w:t>
      </w:r>
      <w:r w:rsidRPr="007828F5">
        <w:rPr>
          <w:rStyle w:val="Bodytext20"/>
          <w:lang w:eastAsia="vi-VN"/>
        </w:rPr>
        <w:t xml:space="preserve"> </w:t>
      </w:r>
      <w:r w:rsidR="00B829FD" w:rsidRPr="007828F5">
        <w:rPr>
          <w:rStyle w:val="Bodytext20"/>
          <w:lang w:eastAsia="vi-VN"/>
        </w:rPr>
        <w:t xml:space="preserve">Căn cứ </w:t>
      </w:r>
      <w:r w:rsidR="00B829FD" w:rsidRPr="007828F5">
        <w:t>Nghị định số 35/2015/NĐ-CP ngày 13/4/2015 của Chính phủ</w:t>
      </w:r>
      <w:r w:rsidRPr="007828F5">
        <w:t>;</w:t>
      </w:r>
      <w:r w:rsidR="00B829FD" w:rsidRPr="007828F5">
        <w:t xml:space="preserve"> Nghị định số 62/2019/NĐ-CP ngày 11/7/2019 của Chính phủ sửa đổi, bổ sung một số điều của Nghị định số 35/2015/NĐ-CP ngày 13/4/2015 của Chính phủ về</w:t>
      </w:r>
      <w:r w:rsidRPr="007828F5">
        <w:t xml:space="preserve"> quản lý, sử dụng đất trồng lúa;</w:t>
      </w:r>
      <w:r w:rsidR="00B829FD" w:rsidRPr="007828F5">
        <w:t xml:space="preserve"> </w:t>
      </w:r>
      <w:r w:rsidRPr="007828F5">
        <w:rPr>
          <w:iCs/>
        </w:rPr>
        <w:t>Thông tư số 18/2016/TT-BTC ngày 21/01/2016 của Bộ</w:t>
      </w:r>
      <w:r w:rsidRPr="007828F5">
        <w:t xml:space="preserve"> </w:t>
      </w:r>
      <w:r w:rsidRPr="007828F5">
        <w:rPr>
          <w:iCs/>
        </w:rPr>
        <w:t>trưởng Bộ Tài chính hướng dẫn thực hiện một số điều của Nghị định</w:t>
      </w:r>
      <w:r w:rsidRPr="007828F5">
        <w:t xml:space="preserve"> </w:t>
      </w:r>
      <w:r w:rsidRPr="007828F5">
        <w:rPr>
          <w:iCs/>
        </w:rPr>
        <w:t xml:space="preserve">số 35/2015/NĐ-CP ngày 13/4/2015 của Chính phủ về quản lý, sử dụng đất trồng lúa; Thông tư số 02/2023/TT-BTC ngày 06/01/2023 của Bộ trưởng Bộ Tài chính sửa </w:t>
      </w:r>
      <w:r w:rsidRPr="007828F5">
        <w:rPr>
          <w:iCs/>
        </w:rPr>
        <w:lastRenderedPageBreak/>
        <w:t>đổi, bổ sung một số điều của Thông tư số 18/2016/TT-BTC ngày 21/01/2016 của Bộ trưởng Bộ Tài chính hướng dẫn thực hiện một số điều của Nghị định số 35/2015/NĐ-CP ngày 13</w:t>
      </w:r>
      <w:r w:rsidR="00B933E9" w:rsidRPr="007828F5">
        <w:rPr>
          <w:iCs/>
        </w:rPr>
        <w:t>/</w:t>
      </w:r>
      <w:r w:rsidRPr="007828F5">
        <w:rPr>
          <w:iCs/>
        </w:rPr>
        <w:t>4</w:t>
      </w:r>
      <w:r w:rsidR="00B933E9" w:rsidRPr="007828F5">
        <w:rPr>
          <w:iCs/>
        </w:rPr>
        <w:t>/</w:t>
      </w:r>
      <w:r w:rsidRPr="007828F5">
        <w:rPr>
          <w:iCs/>
        </w:rPr>
        <w:t>2015 của Chính phủ về</w:t>
      </w:r>
      <w:r w:rsidR="00352864">
        <w:rPr>
          <w:iCs/>
        </w:rPr>
        <w:t xml:space="preserve"> quản lý, sử dụng đất trồng lúa.</w:t>
      </w:r>
      <w:r w:rsidRPr="007828F5">
        <w:rPr>
          <w:iCs/>
        </w:rPr>
        <w:t xml:space="preserve"> </w:t>
      </w:r>
    </w:p>
    <w:p w:rsidR="00B829FD" w:rsidRPr="007828F5" w:rsidRDefault="00B829FD" w:rsidP="00592EB8">
      <w:pPr>
        <w:spacing w:after="100" w:line="240" w:lineRule="auto"/>
        <w:ind w:firstLine="720"/>
        <w:jc w:val="both"/>
        <w:rPr>
          <w:iCs/>
        </w:rPr>
      </w:pPr>
      <w:r w:rsidRPr="007828F5">
        <w:t xml:space="preserve">Sở Tài chính </w:t>
      </w:r>
      <w:r w:rsidRPr="007828F5">
        <w:rPr>
          <w:bCs/>
          <w:lang w:val="vi-VN"/>
        </w:rPr>
        <w:t xml:space="preserve">tham mưu UBND tỉnh </w:t>
      </w:r>
      <w:r w:rsidRPr="007828F5">
        <w:rPr>
          <w:bCs/>
        </w:rPr>
        <w:t xml:space="preserve">trình Hội đồng nhân dân tỉnh </w:t>
      </w:r>
      <w:r w:rsidRPr="007828F5">
        <w:rPr>
          <w:bCs/>
          <w:lang w:val="vi-VN"/>
        </w:rPr>
        <w:t xml:space="preserve">ban hành </w:t>
      </w:r>
      <w:r w:rsidRPr="007828F5">
        <w:rPr>
          <w:iCs/>
        </w:rPr>
        <w:t>Nghị quyết số 35/2016/NQ-HĐND ngày 03/8/2016 của HĐND tỉnh về mức thu tiền bảo vệ, phát triển đất trồng lúa khi chuyển từ đất chuyên trồng lúa nước sang sử dụng vào mục đích phi nông nghiệp trên địa bàn tỉnh An Giang.</w:t>
      </w:r>
      <w:r w:rsidR="005D17BA" w:rsidRPr="007828F5">
        <w:rPr>
          <w:iCs/>
        </w:rPr>
        <w:t xml:space="preserve"> </w:t>
      </w:r>
    </w:p>
    <w:p w:rsidR="00CD69C6" w:rsidRPr="003B7628" w:rsidRDefault="00B829FD" w:rsidP="00592EB8">
      <w:pPr>
        <w:spacing w:after="100" w:line="240" w:lineRule="auto"/>
        <w:ind w:firstLine="720"/>
        <w:jc w:val="both"/>
        <w:rPr>
          <w:iCs/>
        </w:rPr>
      </w:pPr>
      <w:r w:rsidRPr="003B7628">
        <w:rPr>
          <w:iCs/>
        </w:rPr>
        <w:t xml:space="preserve">Trên cơ sở đó, UBND tỉnh ban hành </w:t>
      </w:r>
      <w:r w:rsidR="00CD69C6" w:rsidRPr="003B7628">
        <w:rPr>
          <w:lang w:val="nb-NO"/>
        </w:rPr>
        <w:t xml:space="preserve">Quyết định số 66/2016/QĐ-UBND ngày 28/9/2016 </w:t>
      </w:r>
      <w:r w:rsidR="00CD69C6" w:rsidRPr="003B7628">
        <w:t>Quy định mức thu tiền bảo vệ, phát triển đất trồng lúa khi chuyển từ đất chuyên trồng lúa nước sang sử dụng vào mục đích phi nông nghiệp trên địa bàn tỉnh và Quyết định số 04/2024/QĐ-UBND ngày 27/02/2024 sửa đổi, bổ sung một số điều của Quy định mức thu tiền bảo vệ, phát triển đất trồng lúa khi chuyển từ đất chuyên trồng lúa nước sang sử dụng vào mục đích phi nông nghiệp trên địa bàn tỉnh ban hành kèm theo Quyết định số 66/2016/QĐ-UBND ngày 28/9/2016 của UBND tỉnh</w:t>
      </w:r>
      <w:r w:rsidR="00CD69C6" w:rsidRPr="003B7628">
        <w:rPr>
          <w:lang w:eastAsia="zh-CN"/>
        </w:rPr>
        <w:t>.</w:t>
      </w:r>
    </w:p>
    <w:p w:rsidR="002F221C" w:rsidRPr="007828F5" w:rsidRDefault="002F221C" w:rsidP="00592EB8">
      <w:pPr>
        <w:spacing w:after="100" w:line="240" w:lineRule="auto"/>
        <w:ind w:firstLine="720"/>
        <w:jc w:val="both"/>
      </w:pPr>
      <w:r w:rsidRPr="007828F5">
        <w:rPr>
          <w:b/>
          <w:lang w:eastAsia="zh-CN"/>
        </w:rPr>
        <w:t>2.</w:t>
      </w:r>
      <w:r w:rsidRPr="007828F5">
        <w:rPr>
          <w:lang w:eastAsia="zh-CN"/>
        </w:rPr>
        <w:t xml:space="preserve"> Ngày 11/9/2024, Chính phủ ban hành Nghị định số 112/2024/NĐ-CP quy định chi tiết về đất trồng lúa (có hiệu lực thi hành kể từ ngày 11/9/2024) và thay thế </w:t>
      </w:r>
      <w:r w:rsidRPr="007828F5">
        <w:t xml:space="preserve">Nghị định số </w:t>
      </w:r>
      <w:bookmarkStart w:id="0" w:name="tvpllink_xhqckmvzmj"/>
      <w:r w:rsidRPr="007828F5">
        <w:t>35/2015/NĐ-CP</w:t>
      </w:r>
      <w:bookmarkEnd w:id="0"/>
      <w:r w:rsidRPr="007828F5">
        <w:t xml:space="preserve"> ngày 13/4/2015 của Chính phủ, Nghị định số </w:t>
      </w:r>
      <w:bookmarkStart w:id="1" w:name="tvpllink_cqrvijsnae"/>
      <w:r w:rsidRPr="007828F5">
        <w:t>62/2019/NĐ-CP</w:t>
      </w:r>
      <w:bookmarkEnd w:id="1"/>
      <w:r w:rsidRPr="007828F5">
        <w:t xml:space="preserve"> ngày 11/7/2019 của Chính phủ sửa đổi, bổ sung một số điều của Nghị định số </w:t>
      </w:r>
      <w:bookmarkStart w:id="2" w:name="tvpllink_xhqckmvzmj_1"/>
      <w:r w:rsidRPr="007828F5">
        <w:t>35/2015/NĐ-CP</w:t>
      </w:r>
      <w:bookmarkEnd w:id="2"/>
      <w:r w:rsidRPr="007828F5">
        <w:t xml:space="preserve"> ngày 13/4/2015 của Chính phủ về quản lý, sử dụng đất trồng lúa. </w:t>
      </w:r>
    </w:p>
    <w:p w:rsidR="003B7628" w:rsidRDefault="002F221C" w:rsidP="00592EB8">
      <w:pPr>
        <w:spacing w:after="100" w:line="240" w:lineRule="auto"/>
        <w:ind w:firstLine="720"/>
        <w:jc w:val="both"/>
        <w:rPr>
          <w:spacing w:val="-2"/>
          <w:shd w:val="clear" w:color="auto" w:fill="FFFFFF"/>
        </w:rPr>
      </w:pPr>
      <w:r w:rsidRPr="003B7628">
        <w:rPr>
          <w:b/>
          <w:spacing w:val="-2"/>
          <w:shd w:val="clear" w:color="auto" w:fill="FFFFFF"/>
        </w:rPr>
        <w:t>3.</w:t>
      </w:r>
      <w:r w:rsidRPr="003B7628">
        <w:rPr>
          <w:spacing w:val="-2"/>
          <w:shd w:val="clear" w:color="auto" w:fill="FFFFFF"/>
        </w:rPr>
        <w:t xml:space="preserve"> Tại khoản 4 </w:t>
      </w:r>
      <w:hyperlink r:id="rId8" w:tgtFrame="_blank" w:history="1">
        <w:r w:rsidRPr="003B7628">
          <w:rPr>
            <w:rStyle w:val="Hyperlink"/>
            <w:color w:val="auto"/>
            <w:spacing w:val="-2"/>
            <w:u w:val="none"/>
          </w:rPr>
          <w:t>Điều 154 Luật Ban hành văn bản quy phạm pháp luật 2015 </w:t>
        </w:r>
      </w:hyperlink>
      <w:r w:rsidRPr="003B7628">
        <w:rPr>
          <w:spacing w:val="-2"/>
          <w:shd w:val="clear" w:color="auto" w:fill="FFFFFF"/>
        </w:rPr>
        <w:t>quy định:</w:t>
      </w:r>
      <w:r w:rsidR="003B7628" w:rsidRPr="003B7628">
        <w:rPr>
          <w:spacing w:val="-2"/>
          <w:shd w:val="clear" w:color="auto" w:fill="FFFFFF"/>
        </w:rPr>
        <w:t xml:space="preserve"> </w:t>
      </w:r>
      <w:bookmarkStart w:id="3" w:name="dieu_154"/>
    </w:p>
    <w:p w:rsidR="002F221C" w:rsidRPr="003B7628" w:rsidRDefault="002F221C" w:rsidP="00592EB8">
      <w:pPr>
        <w:spacing w:after="100" w:line="240" w:lineRule="auto"/>
        <w:ind w:firstLine="720"/>
        <w:jc w:val="both"/>
        <w:rPr>
          <w:i/>
          <w:spacing w:val="-2"/>
        </w:rPr>
      </w:pPr>
      <w:r w:rsidRPr="003B7628">
        <w:rPr>
          <w:b/>
          <w:bCs/>
          <w:i/>
          <w:spacing w:val="-2"/>
        </w:rPr>
        <w:t>“Điều 154. Trường hợp văn bản quy phạm pháp luật hết hiệu lực</w:t>
      </w:r>
      <w:bookmarkEnd w:id="3"/>
    </w:p>
    <w:p w:rsidR="002F221C" w:rsidRPr="007828F5" w:rsidRDefault="002F221C" w:rsidP="00592EB8">
      <w:pPr>
        <w:spacing w:after="100" w:line="240" w:lineRule="auto"/>
        <w:ind w:firstLine="720"/>
        <w:jc w:val="both"/>
      </w:pPr>
      <w:bookmarkStart w:id="4" w:name="khoan_4_154"/>
      <w:r w:rsidRPr="007828F5">
        <w:rPr>
          <w:i/>
        </w:rPr>
        <w:t>4. Văn bản quy phạm pháp luật hết hiệu lực thì văn bản quy phạm pháp luật quy định chi tiết thi hành văn bản đó cũng đồng thời hết hiệu lực.</w:t>
      </w:r>
      <w:bookmarkEnd w:id="4"/>
      <w:r w:rsidRPr="007828F5">
        <w:rPr>
          <w:i/>
        </w:rPr>
        <w:t>”</w:t>
      </w:r>
    </w:p>
    <w:p w:rsidR="00680A9E" w:rsidRDefault="00680A9E" w:rsidP="00592EB8">
      <w:pPr>
        <w:spacing w:after="160" w:line="240" w:lineRule="auto"/>
        <w:ind w:firstLine="720"/>
        <w:jc w:val="both"/>
        <w:rPr>
          <w:rStyle w:val="fontstyle01"/>
        </w:rPr>
      </w:pPr>
      <w:r>
        <w:rPr>
          <w:rStyle w:val="fontstyle01"/>
          <w:b/>
        </w:rPr>
        <w:t>4</w:t>
      </w:r>
      <w:r w:rsidRPr="00595804">
        <w:rPr>
          <w:rStyle w:val="fontstyle01"/>
          <w:b/>
        </w:rPr>
        <w:t>.</w:t>
      </w:r>
      <w:r>
        <w:rPr>
          <w:rStyle w:val="fontstyle01"/>
        </w:rPr>
        <w:t xml:space="preserve"> Tại khoản 3 Điều 1 của Luật Sửa đổi, bổ sung một số điều của Luật Ban</w:t>
      </w:r>
      <w:r w:rsidR="00DD46E4">
        <w:rPr>
          <w:rStyle w:val="fontstyle01"/>
        </w:rPr>
        <w:t xml:space="preserve"> </w:t>
      </w:r>
      <w:r>
        <w:rPr>
          <w:rStyle w:val="fontstyle01"/>
        </w:rPr>
        <w:t>hành văn bản quy phạm pháp luật quy định:</w:t>
      </w:r>
    </w:p>
    <w:p w:rsidR="00680A9E" w:rsidRDefault="00680A9E" w:rsidP="00592EB8">
      <w:pPr>
        <w:spacing w:after="160" w:line="240" w:lineRule="auto"/>
        <w:ind w:firstLine="720"/>
        <w:jc w:val="both"/>
        <w:rPr>
          <w:rStyle w:val="fontstyle21"/>
        </w:rPr>
      </w:pPr>
      <w:r>
        <w:rPr>
          <w:rStyle w:val="fontstyle21"/>
        </w:rPr>
        <w:t>“3. Sửa đổi, bổ sung Điều 12 như sau:</w:t>
      </w:r>
    </w:p>
    <w:p w:rsidR="00680A9E" w:rsidRDefault="00680A9E" w:rsidP="00592EB8">
      <w:pPr>
        <w:spacing w:after="160" w:line="240" w:lineRule="auto"/>
        <w:ind w:firstLine="720"/>
        <w:jc w:val="both"/>
        <w:rPr>
          <w:rStyle w:val="fontstyle21"/>
        </w:rPr>
      </w:pPr>
      <w:r>
        <w:rPr>
          <w:rStyle w:val="fontstyle21"/>
        </w:rPr>
        <w:t>“Điều 12. Sửa đổi, bổ sung, thay thế, bãi bỏ hoặc đình chỉ việc thi hành</w:t>
      </w:r>
      <w:r>
        <w:rPr>
          <w:rFonts w:ascii="TimesNewRomanPS-ItalicMT" w:hAnsi="TimesNewRomanPS-ItalicMT"/>
          <w:i/>
          <w:iCs/>
          <w:color w:val="000000"/>
        </w:rPr>
        <w:br/>
      </w:r>
      <w:r>
        <w:rPr>
          <w:rStyle w:val="fontstyle21"/>
        </w:rPr>
        <w:t>văn bản quy phạm pháp luật</w:t>
      </w:r>
    </w:p>
    <w:p w:rsidR="00680A9E" w:rsidRDefault="00680A9E" w:rsidP="00592EB8">
      <w:pPr>
        <w:spacing w:after="100" w:line="240" w:lineRule="auto"/>
        <w:ind w:firstLine="720"/>
        <w:jc w:val="both"/>
        <w:rPr>
          <w:b/>
          <w:lang w:eastAsia="zh-CN"/>
        </w:rPr>
      </w:pPr>
      <w:r>
        <w:rPr>
          <w:rStyle w:val="fontstyle21"/>
        </w:rPr>
        <w:t>1. Văn bản quy phạm pháp luật chỉ được sửa đổi, bổ sung, thay thế hoặc</w:t>
      </w:r>
      <w:r>
        <w:rPr>
          <w:rFonts w:ascii="TimesNewRomanPS-ItalicMT" w:hAnsi="TimesNewRomanPS-ItalicMT"/>
          <w:i/>
          <w:iCs/>
          <w:color w:val="000000"/>
        </w:rPr>
        <w:br/>
      </w:r>
      <w:r>
        <w:rPr>
          <w:rStyle w:val="fontstyle21"/>
        </w:rPr>
        <w:t>bãi bỏ bằng văn bản quy phạm pháp luật của chính cơ quan nhà nước đã ban</w:t>
      </w:r>
      <w:r>
        <w:rPr>
          <w:rFonts w:ascii="TimesNewRomanPS-ItalicMT" w:hAnsi="TimesNewRomanPS-ItalicMT"/>
          <w:i/>
          <w:iCs/>
          <w:color w:val="000000"/>
        </w:rPr>
        <w:br/>
      </w:r>
      <w:r>
        <w:rPr>
          <w:rStyle w:val="fontstyle21"/>
        </w:rPr>
        <w:t>hành văn bản đó …”</w:t>
      </w:r>
    </w:p>
    <w:p w:rsidR="002F221C" w:rsidRDefault="00680A9E" w:rsidP="00592EB8">
      <w:pPr>
        <w:spacing w:after="100" w:line="240" w:lineRule="auto"/>
        <w:ind w:firstLine="720"/>
        <w:jc w:val="both"/>
        <w:rPr>
          <w:i/>
          <w:lang w:eastAsia="zh-CN"/>
        </w:rPr>
      </w:pPr>
      <w:r>
        <w:rPr>
          <w:b/>
          <w:lang w:eastAsia="zh-CN"/>
        </w:rPr>
        <w:t>5</w:t>
      </w:r>
      <w:r w:rsidR="002F221C" w:rsidRPr="007828F5">
        <w:rPr>
          <w:b/>
          <w:lang w:eastAsia="zh-CN"/>
        </w:rPr>
        <w:t>.</w:t>
      </w:r>
      <w:r w:rsidR="002F221C" w:rsidRPr="007828F5">
        <w:rPr>
          <w:lang w:eastAsia="zh-CN"/>
        </w:rPr>
        <w:t xml:space="preserve"> Tại khoản 1 Điều 12 Nghị định số 112/2024/NĐ-CP ngày 11/9/2024 của Chính phủ, quy định: </w:t>
      </w:r>
      <w:r w:rsidR="002F221C" w:rsidRPr="007828F5">
        <w:rPr>
          <w:i/>
          <w:lang w:eastAsia="zh-CN"/>
        </w:rPr>
        <w:t xml:space="preserve">“1. Người được nhà nước giao đất, cho thuê đất để sử dụng vào mục đích phi nông nghiệp từ đất chuyên trồng lúa phải nộp một khoản tiền để Nhà nước bổ sung diện tích đất chuyên trồng lúa bị mất hoặc tăng hiệu quả sử dụng đất trồng lúa, trừ các công trình, dự án sử dụng vốn đầu tư công hoặc vốn </w:t>
      </w:r>
      <w:r w:rsidR="002F221C" w:rsidRPr="007828F5">
        <w:rPr>
          <w:i/>
          <w:lang w:eastAsia="zh-CN"/>
        </w:rPr>
        <w:lastRenderedPageBreak/>
        <w:t xml:space="preserve">nhà nước ngoài đầu tư công theo quy định của pháp luật về đầu tư công, pháp luật về xây dựng. </w:t>
      </w:r>
      <w:r w:rsidR="002F221C" w:rsidRPr="007828F5">
        <w:rPr>
          <w:i/>
          <w:u w:val="single"/>
          <w:lang w:eastAsia="zh-CN"/>
        </w:rPr>
        <w:t>Ủy ban nhân dân cấp tỉnh quy định mức nộp cụ thể</w:t>
      </w:r>
      <w:r w:rsidR="002F221C" w:rsidRPr="007828F5">
        <w:rPr>
          <w:i/>
          <w:lang w:eastAsia="zh-CN"/>
        </w:rPr>
        <w:t xml:space="preserve">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rsidR="00486CA4" w:rsidRPr="007828F5" w:rsidRDefault="00486CA4" w:rsidP="00592EB8">
      <w:pPr>
        <w:spacing w:after="100" w:line="240" w:lineRule="auto"/>
        <w:ind w:firstLine="720"/>
        <w:jc w:val="both"/>
        <w:rPr>
          <w:lang w:eastAsia="zh-CN"/>
        </w:rPr>
      </w:pPr>
      <w:r w:rsidRPr="007828F5">
        <w:rPr>
          <w:shd w:val="clear" w:color="auto" w:fill="FFFFFF"/>
        </w:rPr>
        <w:t xml:space="preserve">Theo quy định nêu trên thì các văn bản </w:t>
      </w:r>
      <w:r w:rsidRPr="007828F5">
        <w:t xml:space="preserve">quy phạm pháp luật quy định chi tiết thi hành tại địa phương như </w:t>
      </w:r>
      <w:r w:rsidRPr="007828F5">
        <w:rPr>
          <w:iCs/>
        </w:rPr>
        <w:t xml:space="preserve">Nghị quyết số 35/2016/NQ-HĐND ngày 03/8/2016 của HĐND tỉnh, </w:t>
      </w:r>
      <w:r w:rsidRPr="007828F5">
        <w:rPr>
          <w:lang w:val="nb-NO"/>
        </w:rPr>
        <w:t xml:space="preserve">Quyết định số 66/2016/QĐ-UBND ngày 28/9/2016 của UBND tỉnh </w:t>
      </w:r>
      <w:r w:rsidRPr="007828F5">
        <w:t>và Quyết định số 04/2024/QĐ-UBND ngày 27/02/2024 của UBND tỉnh</w:t>
      </w:r>
      <w:r>
        <w:t xml:space="preserve"> nêu trên</w:t>
      </w:r>
      <w:r w:rsidRPr="007828F5">
        <w:t xml:space="preserve"> cũng hết hiệu lực.</w:t>
      </w:r>
    </w:p>
    <w:p w:rsidR="003B7628" w:rsidRDefault="00486CA4" w:rsidP="00592EB8">
      <w:pPr>
        <w:widowControl w:val="0"/>
        <w:spacing w:after="100" w:line="240" w:lineRule="auto"/>
        <w:ind w:firstLine="720"/>
        <w:jc w:val="both"/>
        <w:rPr>
          <w:bCs/>
          <w:lang w:val="vi-VN"/>
        </w:rPr>
      </w:pPr>
      <w:r>
        <w:rPr>
          <w:lang w:eastAsia="zh-CN"/>
        </w:rPr>
        <w:t>Từ những nội dung trên</w:t>
      </w:r>
      <w:r w:rsidR="002F221C" w:rsidRPr="007828F5">
        <w:rPr>
          <w:lang w:eastAsia="zh-CN"/>
        </w:rPr>
        <w:t xml:space="preserve">, Sở Tài chính tham mưu UBND tỉnh ban hành Quyết định quy định mức nộp tiền </w:t>
      </w:r>
      <w:r w:rsidR="002F221C" w:rsidRPr="007828F5">
        <w:rPr>
          <w:bCs/>
        </w:rPr>
        <w:t xml:space="preserve">để nhà nước bổ sung diện tích đất chuyên trồng lúa bị mất hoặc tăng hiệu quả sử dụng đất trồng lúa </w:t>
      </w:r>
      <w:r w:rsidR="002F221C" w:rsidRPr="007828F5">
        <w:rPr>
          <w:bCs/>
          <w:lang w:val="nb-NO"/>
        </w:rPr>
        <w:t xml:space="preserve">khi chuyển đất chuyên trồng lúa sang mục đích phi nông nghiệp </w:t>
      </w:r>
      <w:r w:rsidR="002F221C" w:rsidRPr="007828F5">
        <w:t xml:space="preserve">trên địa bàn tỉnh An Giang </w:t>
      </w:r>
      <w:r w:rsidR="00680A9E" w:rsidRPr="004328EC">
        <w:rPr>
          <w:lang w:eastAsia="zh-CN"/>
        </w:rPr>
        <w:t xml:space="preserve">là cần thiết và </w:t>
      </w:r>
      <w:r w:rsidR="00680A9E" w:rsidRPr="004328EC">
        <w:rPr>
          <w:lang w:val="pt-BR"/>
        </w:rPr>
        <w:t>đúng thẩm quyền.</w:t>
      </w:r>
      <w:r w:rsidR="00C6476C" w:rsidRPr="007828F5">
        <w:rPr>
          <w:bCs/>
          <w:lang w:val="vi-VN"/>
        </w:rPr>
        <w:t xml:space="preserve"> </w:t>
      </w:r>
    </w:p>
    <w:p w:rsidR="00E8461A" w:rsidRPr="003F2E9C" w:rsidRDefault="00E8461A" w:rsidP="00E8461A">
      <w:pPr>
        <w:widowControl w:val="0"/>
        <w:spacing w:after="100"/>
        <w:ind w:firstLine="720"/>
        <w:jc w:val="both"/>
        <w:rPr>
          <w:b/>
          <w:bCs/>
          <w:lang w:val="vi-VN" w:eastAsia="vi-VN"/>
        </w:rPr>
      </w:pPr>
      <w:r w:rsidRPr="003F2E9C">
        <w:rPr>
          <w:b/>
        </w:rPr>
        <w:t xml:space="preserve">II. </w:t>
      </w:r>
      <w:r w:rsidRPr="003F2E9C">
        <w:rPr>
          <w:b/>
          <w:bCs/>
          <w:lang w:val="pt-BR" w:eastAsia="vi-VN"/>
        </w:rPr>
        <w:t xml:space="preserve">MỤC ĐÍCH BAN HÀNH, QUAN ĐIỂM XÂY DỰNG </w:t>
      </w:r>
      <w:r>
        <w:rPr>
          <w:b/>
          <w:bCs/>
          <w:lang w:val="pt-BR" w:eastAsia="vi-VN"/>
        </w:rPr>
        <w:t>DỰ THẢO VĂN BẢN</w:t>
      </w:r>
    </w:p>
    <w:p w:rsidR="00E8461A" w:rsidRPr="003F2E9C" w:rsidRDefault="00E8461A" w:rsidP="00E8461A">
      <w:pPr>
        <w:widowControl w:val="0"/>
        <w:spacing w:after="100"/>
        <w:ind w:firstLine="720"/>
        <w:jc w:val="both"/>
        <w:rPr>
          <w:b/>
          <w:bCs/>
          <w:lang w:val="vi-VN" w:eastAsia="vi-VN"/>
        </w:rPr>
      </w:pPr>
      <w:r w:rsidRPr="003F2E9C">
        <w:rPr>
          <w:lang w:val="nl-NL"/>
        </w:rPr>
        <w:t>1. Mục đích ban hành</w:t>
      </w:r>
      <w:r>
        <w:rPr>
          <w:lang w:val="nl-NL"/>
        </w:rPr>
        <w:t xml:space="preserve"> </w:t>
      </w:r>
      <w:r w:rsidRPr="00E8461A">
        <w:rPr>
          <w:bCs/>
        </w:rPr>
        <w:t>văn bản:</w:t>
      </w:r>
      <w:r w:rsidRPr="003F2E9C">
        <w:rPr>
          <w:b/>
          <w:lang w:val="nl-NL"/>
        </w:rPr>
        <w:t xml:space="preserve"> </w:t>
      </w:r>
      <w:r>
        <w:rPr>
          <w:lang w:eastAsia="zh-CN"/>
        </w:rPr>
        <w:t>Q</w:t>
      </w:r>
      <w:r w:rsidRPr="007828F5">
        <w:rPr>
          <w:lang w:eastAsia="zh-CN"/>
        </w:rPr>
        <w:t xml:space="preserve">uy định mức nộp tiền </w:t>
      </w:r>
      <w:r w:rsidRPr="007828F5">
        <w:rPr>
          <w:bCs/>
        </w:rPr>
        <w:t xml:space="preserve">để nhà nước bổ sung diện tích đất chuyên trồng lúa bị mất hoặc tăng hiệu quả sử dụng đất trồng lúa </w:t>
      </w:r>
      <w:r w:rsidRPr="007828F5">
        <w:rPr>
          <w:bCs/>
          <w:lang w:val="nb-NO"/>
        </w:rPr>
        <w:t xml:space="preserve">khi chuyển đất chuyên trồng lúa sang mục đích phi nông nghiệp </w:t>
      </w:r>
      <w:r w:rsidRPr="007828F5">
        <w:t>trên địa bàn tỉnh An Giang</w:t>
      </w:r>
      <w:r w:rsidRPr="003F2E9C">
        <w:rPr>
          <w:lang w:val="nl-NL"/>
        </w:rPr>
        <w:t>.</w:t>
      </w:r>
    </w:p>
    <w:p w:rsidR="008E4586" w:rsidRDefault="00E8461A" w:rsidP="00E8461A">
      <w:pPr>
        <w:widowControl w:val="0"/>
        <w:spacing w:after="100"/>
        <w:ind w:firstLine="720"/>
        <w:jc w:val="both"/>
        <w:rPr>
          <w:bCs/>
          <w:lang w:val="vi-VN"/>
        </w:rPr>
      </w:pPr>
      <w:r w:rsidRPr="003F2E9C">
        <w:rPr>
          <w:lang w:val="nl-NL"/>
        </w:rPr>
        <w:t xml:space="preserve">2. Quan điểm xây dựng </w:t>
      </w:r>
      <w:r w:rsidRPr="00E8461A">
        <w:rPr>
          <w:bCs/>
          <w:lang w:val="pt-BR"/>
        </w:rPr>
        <w:t>dự thảo văn bản</w:t>
      </w:r>
      <w:r w:rsidRPr="003F2E9C">
        <w:rPr>
          <w:lang w:val="nl-NL"/>
        </w:rPr>
        <w:t>: Tuân thủ trình tự, thủ tục xây dựng ban hành văn bản quy phạm pháp luật và đảm bảo phù hợp với quy định hiện hành.</w:t>
      </w:r>
    </w:p>
    <w:p w:rsidR="00E8461A" w:rsidRPr="003F2E9C" w:rsidRDefault="00E8461A" w:rsidP="00E8461A">
      <w:pPr>
        <w:spacing w:after="100"/>
        <w:ind w:firstLine="720"/>
        <w:jc w:val="both"/>
      </w:pPr>
      <w:r w:rsidRPr="003F2E9C">
        <w:rPr>
          <w:b/>
          <w:bCs/>
          <w:lang w:val="en-SG"/>
        </w:rPr>
        <w:t xml:space="preserve">III. PHẠM VI ĐIỀU CHỈNH, ĐỐI TƯỢNG ÁP DỤNG CỦA </w:t>
      </w:r>
      <w:r>
        <w:rPr>
          <w:b/>
          <w:bCs/>
          <w:lang w:val="en-SG"/>
        </w:rPr>
        <w:t xml:space="preserve">DỰ THẢO </w:t>
      </w:r>
      <w:r>
        <w:rPr>
          <w:b/>
          <w:bCs/>
          <w:lang w:val="pt-BR" w:eastAsia="vi-VN"/>
        </w:rPr>
        <w:t>VĂN BẢN</w:t>
      </w:r>
    </w:p>
    <w:p w:rsidR="00E8461A" w:rsidRPr="003F2E9C" w:rsidRDefault="00E8461A" w:rsidP="00E8461A">
      <w:pPr>
        <w:widowControl w:val="0"/>
        <w:spacing w:after="100"/>
        <w:ind w:firstLine="720"/>
        <w:jc w:val="both"/>
        <w:rPr>
          <w:b/>
        </w:rPr>
      </w:pPr>
      <w:r w:rsidRPr="003F2E9C">
        <w:t>Theo quy định tại Điều 1, 2 Nghị định số 112/2024/NĐ-CP ngày 11/9/2024 của Chính phủ.</w:t>
      </w:r>
    </w:p>
    <w:p w:rsidR="00E8461A" w:rsidRDefault="00E8461A" w:rsidP="00E8461A">
      <w:pPr>
        <w:widowControl w:val="0"/>
        <w:spacing w:before="120" w:line="242" w:lineRule="auto"/>
        <w:ind w:firstLine="720"/>
        <w:jc w:val="both"/>
        <w:rPr>
          <w:b/>
        </w:rPr>
      </w:pPr>
      <w:r w:rsidRPr="00D66029">
        <w:rPr>
          <w:b/>
        </w:rPr>
        <w:t>IV. QUÁ TRÌNH XÂY DỰNG DỰ THẢO VĂN BẢN</w:t>
      </w:r>
    </w:p>
    <w:p w:rsidR="00E8461A" w:rsidRPr="00520BE9" w:rsidRDefault="00E8461A" w:rsidP="00E8461A">
      <w:pPr>
        <w:pStyle w:val="BodyText2"/>
        <w:spacing w:line="240" w:lineRule="auto"/>
        <w:ind w:firstLine="709"/>
        <w:jc w:val="both"/>
        <w:rPr>
          <w:iCs/>
        </w:rPr>
      </w:pPr>
      <w:r>
        <w:t xml:space="preserve">1. </w:t>
      </w:r>
      <w:r w:rsidRPr="00520BE9">
        <w:t xml:space="preserve">Ngày 18/10/2024, Sở Tài chính có Tờ trình số 1105/TTr-STC trình UBND </w:t>
      </w:r>
      <w:r w:rsidRPr="00520BE9">
        <w:rPr>
          <w:bCs/>
        </w:rPr>
        <w:t xml:space="preserve">Đề nghị xây dựng Quyết định của </w:t>
      </w:r>
      <w:r w:rsidRPr="00520BE9">
        <w:rPr>
          <w:color w:val="000000"/>
        </w:rPr>
        <w:t xml:space="preserve">Ủy ban nhân dân tỉnh </w:t>
      </w:r>
      <w:r w:rsidRPr="00520BE9">
        <w:t>q</w:t>
      </w:r>
      <w:r w:rsidRPr="00520BE9">
        <w:rPr>
          <w:bCs/>
          <w:lang w:val="nb-NO"/>
        </w:rPr>
        <w:t xml:space="preserve">uy định mức </w:t>
      </w:r>
      <w:r w:rsidRPr="00520BE9">
        <w:rPr>
          <w:bCs/>
        </w:rPr>
        <w:t xml:space="preserve">nộp tiền để nhà nước bổ sung diện tích đất chuyên trồng lúa bị mất hoặc tăng hiệu quả sử dụng đất trồng lúa </w:t>
      </w:r>
      <w:r w:rsidRPr="00520BE9">
        <w:rPr>
          <w:bCs/>
          <w:lang w:val="nb-NO"/>
        </w:rPr>
        <w:t xml:space="preserve">khi chuyển đất chuyên trồng lúa sang mục đích phi nông nghiệp </w:t>
      </w:r>
      <w:r w:rsidRPr="00520BE9">
        <w:t>trên địa bàn tỉnh An Giang</w:t>
      </w:r>
      <w:r w:rsidRPr="00520BE9">
        <w:rPr>
          <w:iCs/>
        </w:rPr>
        <w:t xml:space="preserve"> (đồng gửi Sở Tư pháp có ý kiến).</w:t>
      </w:r>
    </w:p>
    <w:p w:rsidR="00E8461A" w:rsidRPr="00520BE9" w:rsidRDefault="00E8461A" w:rsidP="00E8461A">
      <w:pPr>
        <w:spacing w:after="120"/>
        <w:ind w:firstLine="709"/>
        <w:jc w:val="both"/>
        <w:rPr>
          <w:rStyle w:val="fontstyle01"/>
        </w:rPr>
      </w:pPr>
      <w:r>
        <w:rPr>
          <w:iCs/>
        </w:rPr>
        <w:t>2. N</w:t>
      </w:r>
      <w:r w:rsidRPr="00520BE9">
        <w:rPr>
          <w:iCs/>
        </w:rPr>
        <w:t xml:space="preserve">gày 30/10/2024, Sở Tư pháp có Công văn số 1826/STP-XDKT&amp;TDTHPL </w:t>
      </w:r>
      <w:r w:rsidRPr="00520BE9">
        <w:t xml:space="preserve">đề xuất UBND tỉnh như sau: </w:t>
      </w:r>
      <w:r w:rsidRPr="00520BE9">
        <w:rPr>
          <w:i/>
        </w:rPr>
        <w:t>“</w:t>
      </w:r>
      <w:r w:rsidRPr="00520BE9">
        <w:rPr>
          <w:rStyle w:val="fontstyle01"/>
          <w:i/>
        </w:rPr>
        <w:t xml:space="preserve">Trên cơ sở Tờ trình của Sở Tài chính, quy định tại khoản 3 Điều 127 Luật Ban hành văn bản quy phạm pháp luật. </w:t>
      </w:r>
      <w:r w:rsidRPr="00520BE9">
        <w:rPr>
          <w:rStyle w:val="fontstyle01"/>
          <w:i/>
        </w:rPr>
        <w:lastRenderedPageBreak/>
        <w:t>Sở Tư pháp đề nghị Văn phòng Ủy ban nhân dân tỉnh xem xét, báo cáo Chủ tịch Ủy ban nhân dân tỉnh chấp thuận đề nghị của Sở Tài Chính về việc xây dựng Quyết định quy phạm pháp luật năm 2024 theo trình tự, thủ tục rút gọn”</w:t>
      </w:r>
      <w:r w:rsidRPr="00520BE9">
        <w:rPr>
          <w:rStyle w:val="fontstyle01"/>
        </w:rPr>
        <w:t>.</w:t>
      </w:r>
    </w:p>
    <w:p w:rsidR="00E8461A" w:rsidRPr="00520BE9" w:rsidRDefault="00E8461A" w:rsidP="00C66C3F">
      <w:pPr>
        <w:pStyle w:val="Footer"/>
        <w:spacing w:after="100"/>
        <w:ind w:firstLine="709"/>
        <w:jc w:val="both"/>
      </w:pPr>
      <w:r>
        <w:rPr>
          <w:lang w:val="en-US"/>
        </w:rPr>
        <w:t xml:space="preserve">3. </w:t>
      </w:r>
      <w:r w:rsidRPr="00520BE9">
        <w:t xml:space="preserve">Ngày 04/11/2024, Văn phòng UBND tỉnh có Công văn số 5853/VPUBND-KTTH về việc </w:t>
      </w:r>
      <w:r w:rsidRPr="00520BE9">
        <w:rPr>
          <w:rStyle w:val="fontstyle01"/>
        </w:rPr>
        <w:t>ban hành quy định mức nộp tiền để nhà nước bổ sung diện tích đất</w:t>
      </w:r>
      <w:r>
        <w:rPr>
          <w:rStyle w:val="fontstyle01"/>
          <w:lang w:val="en-US"/>
        </w:rPr>
        <w:t xml:space="preserve"> </w:t>
      </w:r>
      <w:r w:rsidRPr="00520BE9">
        <w:rPr>
          <w:rStyle w:val="fontstyle01"/>
        </w:rPr>
        <w:t xml:space="preserve">chuyên trồng lúa bị mất hoặc tăng hiệu quả sử dụng đất trồng lúa khi chuyển đất chuyên trồng lúa sang mục đích phi nông nghiệp trên địa bàn tỉnh An Giang. Trong đó: </w:t>
      </w:r>
      <w:r w:rsidRPr="00520BE9">
        <w:rPr>
          <w:rStyle w:val="fontstyle01"/>
          <w:i/>
        </w:rPr>
        <w:t>“Đồng ý nội dung báo cáo, đề xuất tại Tờ trình số 1105/TTr-STC ngày 18 tháng 10 năm 2024 của Sở Tài chính”</w:t>
      </w:r>
      <w:r w:rsidRPr="00520BE9">
        <w:rPr>
          <w:rStyle w:val="fontstyle01"/>
        </w:rPr>
        <w:t>.</w:t>
      </w:r>
    </w:p>
    <w:p w:rsidR="00DC6FC0" w:rsidRDefault="00DC6FC0" w:rsidP="00C66C3F">
      <w:pPr>
        <w:widowControl w:val="0"/>
        <w:spacing w:after="100" w:line="240" w:lineRule="auto"/>
        <w:ind w:firstLine="720"/>
        <w:jc w:val="both"/>
        <w:rPr>
          <w:bCs/>
          <w:lang w:val="pt-BR" w:eastAsia="vi-VN"/>
        </w:rPr>
      </w:pPr>
      <w:r>
        <w:rPr>
          <w:bCs/>
          <w:lang w:val="pt-BR" w:eastAsia="vi-VN"/>
        </w:rPr>
        <w:t xml:space="preserve">4. </w:t>
      </w:r>
      <w:r w:rsidRPr="00533368">
        <w:rPr>
          <w:bCs/>
          <w:lang w:val="pt-BR" w:eastAsia="vi-VN"/>
        </w:rPr>
        <w:t>Ngày</w:t>
      </w:r>
      <w:r>
        <w:rPr>
          <w:bCs/>
          <w:lang w:val="pt-BR" w:eastAsia="vi-VN"/>
        </w:rPr>
        <w:t xml:space="preserve"> ...</w:t>
      </w:r>
      <w:r w:rsidRPr="00533368">
        <w:rPr>
          <w:bCs/>
          <w:lang w:val="pt-BR" w:eastAsia="vi-VN"/>
        </w:rPr>
        <w:t>/</w:t>
      </w:r>
      <w:r>
        <w:rPr>
          <w:bCs/>
          <w:lang w:val="pt-BR" w:eastAsia="vi-VN"/>
        </w:rPr>
        <w:t>...</w:t>
      </w:r>
      <w:r>
        <w:rPr>
          <w:bCs/>
          <w:lang w:val="pt-BR" w:eastAsia="vi-VN"/>
        </w:rPr>
        <w:t>/2024, Sở Tài chính đã có Công văn số .../STC-NS lấy ý kiến các cơ quan, đơn vị, địa phương.</w:t>
      </w:r>
    </w:p>
    <w:p w:rsidR="00E8461A" w:rsidRDefault="00DC6FC0" w:rsidP="00C66C3F">
      <w:pPr>
        <w:widowControl w:val="0"/>
        <w:spacing w:after="100" w:line="240" w:lineRule="auto"/>
        <w:ind w:firstLine="720"/>
        <w:jc w:val="both"/>
        <w:rPr>
          <w:bCs/>
          <w:lang w:val="pt-BR" w:eastAsia="vi-VN"/>
        </w:rPr>
      </w:pPr>
      <w:r>
        <w:rPr>
          <w:bCs/>
          <w:lang w:val="pt-BR" w:eastAsia="vi-VN"/>
        </w:rPr>
        <w:t>5</w:t>
      </w:r>
      <w:r w:rsidR="00E8461A" w:rsidRPr="00533368">
        <w:rPr>
          <w:bCs/>
          <w:lang w:val="pt-BR" w:eastAsia="vi-VN"/>
        </w:rPr>
        <w:t>. Ngày</w:t>
      </w:r>
      <w:r w:rsidR="00E8461A">
        <w:rPr>
          <w:bCs/>
          <w:lang w:val="pt-BR" w:eastAsia="vi-VN"/>
        </w:rPr>
        <w:t xml:space="preserve"> ...</w:t>
      </w:r>
      <w:r w:rsidR="00E8461A" w:rsidRPr="00533368">
        <w:rPr>
          <w:bCs/>
          <w:lang w:val="pt-BR" w:eastAsia="vi-VN"/>
        </w:rPr>
        <w:t>/</w:t>
      </w:r>
      <w:r w:rsidR="00E8461A">
        <w:rPr>
          <w:bCs/>
          <w:lang w:val="pt-BR" w:eastAsia="vi-VN"/>
        </w:rPr>
        <w:t>...</w:t>
      </w:r>
      <w:r w:rsidR="00E8461A" w:rsidRPr="00533368">
        <w:rPr>
          <w:bCs/>
          <w:lang w:val="pt-BR" w:eastAsia="vi-VN"/>
        </w:rPr>
        <w:t>/2024, Sở Tư pháp có Báo cáo thẩm định số</w:t>
      </w:r>
      <w:r w:rsidR="00E8461A">
        <w:rPr>
          <w:bCs/>
          <w:lang w:val="pt-BR" w:eastAsia="vi-VN"/>
        </w:rPr>
        <w:t xml:space="preserve"> ...</w:t>
      </w:r>
      <w:r w:rsidR="00E8461A" w:rsidRPr="00533368">
        <w:rPr>
          <w:bCs/>
          <w:lang w:val="pt-BR" w:eastAsia="vi-VN"/>
        </w:rPr>
        <w:t xml:space="preserve">/BC-STP về kết quả thẩm định dự thảo </w:t>
      </w:r>
      <w:r w:rsidR="00E8461A" w:rsidRPr="00520BE9">
        <w:rPr>
          <w:bCs/>
        </w:rPr>
        <w:t xml:space="preserve">Quyết định của </w:t>
      </w:r>
      <w:r w:rsidR="00E8461A" w:rsidRPr="00520BE9">
        <w:rPr>
          <w:color w:val="000000"/>
        </w:rPr>
        <w:t xml:space="preserve">Ủy ban nhân dân tỉnh </w:t>
      </w:r>
      <w:r w:rsidR="00E8461A" w:rsidRPr="00520BE9">
        <w:t>q</w:t>
      </w:r>
      <w:r w:rsidR="00E8461A" w:rsidRPr="00520BE9">
        <w:rPr>
          <w:bCs/>
          <w:lang w:val="nb-NO"/>
        </w:rPr>
        <w:t xml:space="preserve">uy định mức </w:t>
      </w:r>
      <w:r w:rsidR="00E8461A" w:rsidRPr="00520BE9">
        <w:rPr>
          <w:bCs/>
        </w:rPr>
        <w:t xml:space="preserve">nộp tiền để nhà nước bổ sung diện tích đất chuyên trồng lúa bị mất hoặc tăng hiệu quả sử dụng đất trồng lúa </w:t>
      </w:r>
      <w:r w:rsidR="00E8461A" w:rsidRPr="00520BE9">
        <w:rPr>
          <w:bCs/>
          <w:lang w:val="nb-NO"/>
        </w:rPr>
        <w:t xml:space="preserve">khi chuyển đất chuyên trồng lúa sang mục đích phi nông nghiệp </w:t>
      </w:r>
      <w:r w:rsidR="00E8461A" w:rsidRPr="00520BE9">
        <w:t>trên địa bàn tỉnh An Giang</w:t>
      </w:r>
      <w:r w:rsidR="00E8461A">
        <w:t>.</w:t>
      </w:r>
    </w:p>
    <w:p w:rsidR="00E8461A" w:rsidRPr="00533368" w:rsidRDefault="00E8461A" w:rsidP="00C66C3F">
      <w:pPr>
        <w:widowControl w:val="0"/>
        <w:spacing w:after="100" w:line="240" w:lineRule="auto"/>
        <w:ind w:firstLine="720"/>
        <w:jc w:val="both"/>
        <w:rPr>
          <w:bCs/>
          <w:lang w:val="pt-BR" w:eastAsia="vi-VN"/>
        </w:rPr>
      </w:pPr>
      <w:r>
        <w:rPr>
          <w:bCs/>
          <w:lang w:val="pt-BR" w:eastAsia="vi-VN"/>
        </w:rPr>
        <w:t>5</w:t>
      </w:r>
      <w:r w:rsidRPr="00533368">
        <w:rPr>
          <w:bCs/>
          <w:lang w:val="pt-BR" w:eastAsia="vi-VN"/>
        </w:rPr>
        <w:t xml:space="preserve">. </w:t>
      </w:r>
      <w:r>
        <w:rPr>
          <w:bCs/>
          <w:lang w:val="pt-BR" w:eastAsia="vi-VN"/>
        </w:rPr>
        <w:t xml:space="preserve">Sở Tài chính đã </w:t>
      </w:r>
      <w:r w:rsidRPr="00533368">
        <w:rPr>
          <w:bCs/>
          <w:lang w:val="pt-BR" w:eastAsia="vi-VN"/>
        </w:rPr>
        <w:t xml:space="preserve">tổng hợp, tiếp thu, giải trình ý kiến thẩm định của </w:t>
      </w:r>
      <w:r>
        <w:rPr>
          <w:bCs/>
          <w:lang w:val="pt-BR" w:eastAsia="vi-VN"/>
        </w:rPr>
        <w:t xml:space="preserve">Sở Tư pháp </w:t>
      </w:r>
      <w:r w:rsidRPr="00533368">
        <w:rPr>
          <w:bCs/>
          <w:lang w:val="pt-BR" w:eastAsia="vi-VN"/>
        </w:rPr>
        <w:t>và hoàn chỉnh d</w:t>
      </w:r>
      <w:r w:rsidRPr="00533368">
        <w:rPr>
          <w:lang w:val="pt-BR" w:eastAsia="vi-VN"/>
        </w:rPr>
        <w:t xml:space="preserve">ự thảo dự thảo </w:t>
      </w:r>
      <w:r>
        <w:rPr>
          <w:lang w:val="pt-BR" w:eastAsia="vi-VN"/>
        </w:rPr>
        <w:t>N</w:t>
      </w:r>
      <w:r w:rsidRPr="00533368">
        <w:rPr>
          <w:lang w:val="pt-BR" w:eastAsia="vi-VN"/>
        </w:rPr>
        <w:t xml:space="preserve">ghị quyết </w:t>
      </w:r>
      <w:r w:rsidRPr="00533368">
        <w:rPr>
          <w:bCs/>
          <w:lang w:val="pt-BR" w:eastAsia="vi-VN"/>
        </w:rPr>
        <w:t>trình cấp thẩm quyền xem xét, quyết định.</w:t>
      </w:r>
    </w:p>
    <w:p w:rsidR="00E8461A" w:rsidRPr="00D66029" w:rsidRDefault="00E8461A" w:rsidP="00C66C3F">
      <w:pPr>
        <w:widowControl w:val="0"/>
        <w:spacing w:after="100" w:line="240" w:lineRule="auto"/>
        <w:ind w:firstLine="720"/>
        <w:jc w:val="both"/>
        <w:rPr>
          <w:b/>
        </w:rPr>
      </w:pPr>
      <w:r w:rsidRPr="00D66029">
        <w:rPr>
          <w:b/>
        </w:rPr>
        <w:t>V. BỐ CỤC VÀ NỘI DUNG CƠ BẢN CỦA DỰ THẢO VĂN BẢN</w:t>
      </w:r>
    </w:p>
    <w:p w:rsidR="00E8461A" w:rsidRPr="00D66029" w:rsidRDefault="00E8461A" w:rsidP="00C66C3F">
      <w:pPr>
        <w:widowControl w:val="0"/>
        <w:spacing w:after="100" w:line="240" w:lineRule="auto"/>
        <w:ind w:firstLine="720"/>
        <w:jc w:val="both"/>
        <w:rPr>
          <w:bCs/>
          <w:lang w:val="it-IT"/>
        </w:rPr>
      </w:pPr>
      <w:r w:rsidRPr="00D66029">
        <w:rPr>
          <w:bCs/>
        </w:rPr>
        <w:t xml:space="preserve">1. Bố cục: Dự thảo </w:t>
      </w:r>
      <w:r w:rsidRPr="00D66029">
        <w:rPr>
          <w:bCs/>
          <w:lang w:val="it-IT"/>
        </w:rPr>
        <w:t xml:space="preserve">Quyết định gồm </w:t>
      </w:r>
      <w:r>
        <w:rPr>
          <w:bCs/>
          <w:lang w:val="it-IT"/>
        </w:rPr>
        <w:t>03</w:t>
      </w:r>
      <w:r w:rsidRPr="00D66029">
        <w:rPr>
          <w:bCs/>
          <w:lang w:val="it-IT"/>
        </w:rPr>
        <w:t xml:space="preserve"> Điều</w:t>
      </w:r>
    </w:p>
    <w:p w:rsidR="00E8461A" w:rsidRPr="00D66029" w:rsidRDefault="00E8461A" w:rsidP="00C66C3F">
      <w:pPr>
        <w:widowControl w:val="0"/>
        <w:spacing w:after="100" w:line="240" w:lineRule="auto"/>
        <w:ind w:firstLine="720"/>
        <w:jc w:val="both"/>
        <w:rPr>
          <w:bCs/>
        </w:rPr>
      </w:pPr>
      <w:r w:rsidRPr="00D66029">
        <w:rPr>
          <w:bCs/>
        </w:rPr>
        <w:t>2. Nội dung cơ bản của dự thảo văn bản</w:t>
      </w:r>
    </w:p>
    <w:p w:rsidR="00E8461A" w:rsidRDefault="00E8461A" w:rsidP="00C66C3F">
      <w:pPr>
        <w:pStyle w:val="BodyText2"/>
        <w:spacing w:after="100" w:line="240" w:lineRule="auto"/>
        <w:ind w:firstLine="720"/>
        <w:jc w:val="both"/>
      </w:pPr>
      <w:r w:rsidRPr="00E8461A">
        <w:t>- Điều 1.</w:t>
      </w:r>
      <w:r w:rsidRPr="00C44ADC">
        <w:t xml:space="preserve"> Ban hành </w:t>
      </w:r>
      <w:r w:rsidRPr="00C44ADC">
        <w:rPr>
          <w:bCs/>
          <w:lang w:val="nb-NO"/>
        </w:rPr>
        <w:t xml:space="preserve">mức </w:t>
      </w:r>
      <w:r w:rsidRPr="00C44ADC">
        <w:rPr>
          <w:bCs/>
        </w:rPr>
        <w:t xml:space="preserve">nộp tiền để nhà nước bổ sung diện tích đất chuyên trồng lúa bị mất hoặc tăng hiệu quả sử dụng đất trồng lúa </w:t>
      </w:r>
      <w:r w:rsidRPr="00C44ADC">
        <w:rPr>
          <w:bCs/>
          <w:lang w:val="nb-NO"/>
        </w:rPr>
        <w:t xml:space="preserve">khi chuyển đất chuyên trồng lúa sang mục đích phi nông nghiệp </w:t>
      </w:r>
      <w:r w:rsidRPr="00C44ADC">
        <w:t>trên địa bàn tỉnh An Giang</w:t>
      </w:r>
      <w:r>
        <w:t>.</w:t>
      </w:r>
    </w:p>
    <w:p w:rsidR="00E8461A" w:rsidRPr="00E8461A" w:rsidRDefault="00E8461A" w:rsidP="00C66C3F">
      <w:pPr>
        <w:spacing w:after="100" w:line="240" w:lineRule="auto"/>
        <w:ind w:firstLine="720"/>
        <w:jc w:val="both"/>
      </w:pPr>
      <w:r w:rsidRPr="00E8461A">
        <w:t xml:space="preserve">- Điều 2. </w:t>
      </w:r>
      <w:r w:rsidRPr="00E8461A">
        <w:rPr>
          <w:bCs/>
        </w:rPr>
        <w:t>Hiệu lực thi hành</w:t>
      </w:r>
      <w:r w:rsidR="00DC6FC0">
        <w:rPr>
          <w:bCs/>
        </w:rPr>
        <w:t>.</w:t>
      </w:r>
    </w:p>
    <w:p w:rsidR="008E4586" w:rsidRDefault="00E8461A" w:rsidP="00C66C3F">
      <w:pPr>
        <w:widowControl w:val="0"/>
        <w:spacing w:after="100" w:line="240" w:lineRule="auto"/>
        <w:ind w:firstLine="720"/>
        <w:jc w:val="both"/>
        <w:rPr>
          <w:spacing w:val="-2"/>
        </w:rPr>
      </w:pPr>
      <w:r w:rsidRPr="00E8461A">
        <w:rPr>
          <w:spacing w:val="-2"/>
        </w:rPr>
        <w:t>- Điều 3.</w:t>
      </w:r>
      <w:r w:rsidRPr="00263018">
        <w:rPr>
          <w:spacing w:val="-2"/>
        </w:rPr>
        <w:t xml:space="preserve"> Chánh Văn phòng Ủy ban nhân dân tỉnh, Giám đốc Sở Tài chính, Giám đốc Sở Tài nguyên và Môi trường, Giám đốc Sở Nông nghiệp và Phát triển nông thôn, Giám đốc Kho bạc nhà nước tỉnh, Thủ trưởng các Sở, Ban ngành, Đoàn thể cấp tỉnh, Chủ tịch Ủy ban nhân dân các huyện, thị xã, thành phố và các tổ chức, cá nhân có liên quan chịu trách </w:t>
      </w:r>
      <w:r>
        <w:rPr>
          <w:spacing w:val="-2"/>
        </w:rPr>
        <w:t>nhiệm thi hành Quyết định này.</w:t>
      </w:r>
    </w:p>
    <w:p w:rsidR="00A02A8B" w:rsidRPr="00D66029" w:rsidRDefault="00A02A8B" w:rsidP="00C66C3F">
      <w:pPr>
        <w:widowControl w:val="0"/>
        <w:spacing w:after="100" w:line="240" w:lineRule="auto"/>
        <w:ind w:firstLine="720"/>
        <w:jc w:val="both"/>
        <w:rPr>
          <w:b/>
          <w:bCs/>
        </w:rPr>
      </w:pPr>
      <w:r w:rsidRPr="00D66029">
        <w:rPr>
          <w:b/>
          <w:bCs/>
        </w:rPr>
        <w:t>VI. DỰ KIẾN NGUỒN LỰC, ĐIỀU KIỆN BẢO ĐẢM CHO VIỆC THI HÀNH VĂN BẢN (NẾU CÓ)</w:t>
      </w:r>
    </w:p>
    <w:p w:rsidR="00A02A8B" w:rsidRPr="00D66029" w:rsidRDefault="00A02A8B" w:rsidP="00C66C3F">
      <w:pPr>
        <w:widowControl w:val="0"/>
        <w:spacing w:after="100" w:line="240" w:lineRule="auto"/>
        <w:ind w:firstLine="720"/>
        <w:jc w:val="both"/>
      </w:pPr>
      <w:r w:rsidRPr="00D66029">
        <w:t>- Sở Tài chính chủ trì lập hồ sơ đề nghị xây dựng, trình dự thảo Quyết định, giám sát, tổng hợp ý kiến trong suốt quá trình tham mưu; chịu trách nhiệm triển khai đến các sở, ban, ngành, đoàn thể cấp tỉnh, Ủy ban nhân dân huyện, thị xã, thành phố trên địa bàn tỉnh.</w:t>
      </w:r>
    </w:p>
    <w:p w:rsidR="00A02A8B" w:rsidRPr="00D66029" w:rsidRDefault="00A02A8B" w:rsidP="00C66C3F">
      <w:pPr>
        <w:widowControl w:val="0"/>
        <w:spacing w:after="100" w:line="240" w:lineRule="auto"/>
        <w:ind w:firstLine="720"/>
        <w:jc w:val="both"/>
      </w:pPr>
      <w:r w:rsidRPr="00D66029">
        <w:rPr>
          <w:b/>
        </w:rPr>
        <w:t>-</w:t>
      </w:r>
      <w:r w:rsidRPr="00D66029">
        <w:t xml:space="preserve"> Các sở, ban, ngành, đoàn thể cấp tỉnh, Ủy ban nhân dân huyện, thị xã, thành phố chịu trách nhiệm thi hành Quyết định này; đồng thời, phối hợp với Sở </w:t>
      </w:r>
      <w:r w:rsidRPr="00D66029">
        <w:lastRenderedPageBreak/>
        <w:t xml:space="preserve">Tài chính theo dõi, đánh giá hiệu quả, báo cáo Ủy ban nhân dân tỉnh xem xét, điều chỉnh khi có khó khăn, vướng mắc. </w:t>
      </w:r>
    </w:p>
    <w:p w:rsidR="00A02A8B" w:rsidRPr="00D66029" w:rsidRDefault="00A02A8B" w:rsidP="00DC6FC0">
      <w:pPr>
        <w:pStyle w:val="BodyText2"/>
        <w:spacing w:line="240" w:lineRule="auto"/>
        <w:ind w:firstLine="720"/>
        <w:jc w:val="both"/>
      </w:pPr>
      <w:bookmarkStart w:id="5" w:name="_GoBack"/>
      <w:r w:rsidRPr="00D66029">
        <w:t xml:space="preserve">Trên đây là Tờ trình dự thảo </w:t>
      </w:r>
      <w:r w:rsidR="00C66C3F" w:rsidRPr="00C66C3F">
        <w:rPr>
          <w:bCs/>
        </w:rPr>
        <w:t xml:space="preserve">Quyết định của </w:t>
      </w:r>
      <w:r w:rsidR="00C66C3F" w:rsidRPr="00C66C3F">
        <w:rPr>
          <w:color w:val="000000"/>
        </w:rPr>
        <w:t xml:space="preserve">Ủy ban nhân dân tỉnh </w:t>
      </w:r>
      <w:r w:rsidR="00C66C3F" w:rsidRPr="00C66C3F">
        <w:t>q</w:t>
      </w:r>
      <w:r w:rsidR="00C66C3F" w:rsidRPr="00C66C3F">
        <w:rPr>
          <w:bCs/>
          <w:lang w:val="nb-NO"/>
        </w:rPr>
        <w:t xml:space="preserve">uy định mức </w:t>
      </w:r>
      <w:r w:rsidR="00C66C3F" w:rsidRPr="00C66C3F">
        <w:rPr>
          <w:bCs/>
        </w:rPr>
        <w:t xml:space="preserve">nộp tiền để nhà nước bổ sung diện tích đất chuyên trồng lúa bị mất hoặc tăng hiệu quả sử dụng đất trồng lúa </w:t>
      </w:r>
      <w:r w:rsidR="00C66C3F" w:rsidRPr="00C66C3F">
        <w:rPr>
          <w:bCs/>
          <w:lang w:val="nb-NO"/>
        </w:rPr>
        <w:t xml:space="preserve">khi chuyển đất chuyên trồng lúa sang mục đích phi nông nghiệp </w:t>
      </w:r>
      <w:r w:rsidR="00C66C3F" w:rsidRPr="00C66C3F">
        <w:t>trên địa bàn tỉnh An Giang</w:t>
      </w:r>
      <w:r w:rsidRPr="00C66C3F">
        <w:t>.</w:t>
      </w:r>
    </w:p>
    <w:p w:rsidR="00A02A8B" w:rsidRPr="00D66029" w:rsidRDefault="00A02A8B" w:rsidP="00DC6FC0">
      <w:pPr>
        <w:widowControl w:val="0"/>
        <w:spacing w:after="120" w:line="240" w:lineRule="auto"/>
        <w:ind w:firstLine="720"/>
        <w:jc w:val="both"/>
        <w:rPr>
          <w:lang w:val="da-DK"/>
        </w:rPr>
      </w:pPr>
      <w:r w:rsidRPr="00D66029">
        <w:rPr>
          <w:lang w:val="da-DK"/>
        </w:rPr>
        <w:t>Kính trình Ủy ban nhân dân tỉnh xem xét, quyết định./.</w:t>
      </w:r>
    </w:p>
    <w:tbl>
      <w:tblPr>
        <w:tblW w:w="0" w:type="auto"/>
        <w:jc w:val="center"/>
        <w:tblLook w:val="00A0" w:firstRow="1" w:lastRow="0" w:firstColumn="1" w:lastColumn="0" w:noHBand="0" w:noVBand="0"/>
      </w:tblPr>
      <w:tblGrid>
        <w:gridCol w:w="4477"/>
        <w:gridCol w:w="4595"/>
      </w:tblGrid>
      <w:tr w:rsidR="002A2731" w:rsidRPr="008342B1" w:rsidTr="008119E8">
        <w:trPr>
          <w:trHeight w:val="2446"/>
          <w:jc w:val="center"/>
        </w:trPr>
        <w:tc>
          <w:tcPr>
            <w:tcW w:w="4477" w:type="dxa"/>
          </w:tcPr>
          <w:bookmarkEnd w:id="5"/>
          <w:p w:rsidR="002A2731" w:rsidRPr="006257D5" w:rsidRDefault="002B6537" w:rsidP="001E5F08">
            <w:pPr>
              <w:spacing w:after="0" w:line="240" w:lineRule="auto"/>
              <w:jc w:val="both"/>
              <w:rPr>
                <w:b/>
                <w:bCs/>
                <w:i/>
                <w:iCs/>
                <w:sz w:val="24"/>
                <w:szCs w:val="24"/>
                <w:lang w:val="nl-NL"/>
              </w:rPr>
            </w:pPr>
            <w:r>
              <w:rPr>
                <w:b/>
                <w:bCs/>
                <w:i/>
                <w:iCs/>
                <w:sz w:val="24"/>
                <w:szCs w:val="24"/>
                <w:lang w:val="nl-NL"/>
              </w:rPr>
              <w:t>Nơi</w:t>
            </w:r>
            <w:r w:rsidR="002A2731" w:rsidRPr="006257D5">
              <w:rPr>
                <w:b/>
                <w:bCs/>
                <w:i/>
                <w:iCs/>
                <w:sz w:val="24"/>
                <w:szCs w:val="24"/>
                <w:lang w:val="nl-NL"/>
              </w:rPr>
              <w:t xml:space="preserve"> nhận:</w:t>
            </w:r>
          </w:p>
          <w:p w:rsidR="002A2731" w:rsidRDefault="002A2731" w:rsidP="001E5F08">
            <w:pPr>
              <w:spacing w:after="0" w:line="240" w:lineRule="auto"/>
              <w:jc w:val="both"/>
              <w:rPr>
                <w:sz w:val="22"/>
                <w:szCs w:val="22"/>
                <w:lang w:val="nl-NL"/>
              </w:rPr>
            </w:pPr>
            <w:r w:rsidRPr="006257D5">
              <w:rPr>
                <w:sz w:val="22"/>
                <w:szCs w:val="22"/>
                <w:lang w:val="nl-NL"/>
              </w:rPr>
              <w:t>- Như trên;</w:t>
            </w:r>
          </w:p>
          <w:p w:rsidR="006441B8" w:rsidRDefault="00A02A8B" w:rsidP="001E5F08">
            <w:pPr>
              <w:spacing w:after="0" w:line="240" w:lineRule="auto"/>
              <w:jc w:val="both"/>
              <w:rPr>
                <w:sz w:val="22"/>
                <w:szCs w:val="22"/>
                <w:lang w:val="nl-NL"/>
              </w:rPr>
            </w:pPr>
            <w:r>
              <w:rPr>
                <w:sz w:val="22"/>
                <w:szCs w:val="22"/>
                <w:lang w:val="nl-NL"/>
              </w:rPr>
              <w:t>- Sở Tư pháp</w:t>
            </w:r>
            <w:r w:rsidR="006441B8">
              <w:rPr>
                <w:sz w:val="22"/>
                <w:szCs w:val="22"/>
                <w:lang w:val="nl-NL"/>
              </w:rPr>
              <w:t>;</w:t>
            </w:r>
          </w:p>
          <w:p w:rsidR="00F103C1" w:rsidRDefault="00F103C1" w:rsidP="001E5F08">
            <w:pPr>
              <w:spacing w:after="0" w:line="240" w:lineRule="auto"/>
              <w:jc w:val="both"/>
              <w:rPr>
                <w:sz w:val="22"/>
                <w:szCs w:val="22"/>
                <w:lang w:val="nl-NL"/>
              </w:rPr>
            </w:pPr>
            <w:r>
              <w:rPr>
                <w:sz w:val="22"/>
                <w:szCs w:val="22"/>
                <w:lang w:val="nl-NL"/>
              </w:rPr>
              <w:t>- Sở TN&amp;MT;</w:t>
            </w:r>
          </w:p>
          <w:p w:rsidR="002A2731" w:rsidRDefault="002A2731" w:rsidP="001E5F08">
            <w:pPr>
              <w:spacing w:after="0" w:line="240" w:lineRule="auto"/>
              <w:jc w:val="both"/>
              <w:rPr>
                <w:sz w:val="22"/>
                <w:szCs w:val="22"/>
                <w:lang w:val="nl-NL"/>
              </w:rPr>
            </w:pPr>
            <w:r w:rsidRPr="006257D5">
              <w:rPr>
                <w:sz w:val="22"/>
                <w:szCs w:val="22"/>
                <w:lang w:val="nl-NL"/>
              </w:rPr>
              <w:t>- Ban Giám đốc</w:t>
            </w:r>
            <w:r w:rsidR="00BB22D1">
              <w:rPr>
                <w:sz w:val="22"/>
                <w:szCs w:val="22"/>
                <w:lang w:val="nl-NL"/>
              </w:rPr>
              <w:t xml:space="preserve"> Sở</w:t>
            </w:r>
            <w:r w:rsidRPr="006257D5">
              <w:rPr>
                <w:sz w:val="22"/>
                <w:szCs w:val="22"/>
                <w:lang w:val="nl-NL"/>
              </w:rPr>
              <w:t>;</w:t>
            </w:r>
          </w:p>
          <w:p w:rsidR="00BB22D1" w:rsidRDefault="00B5491D" w:rsidP="001E5F08">
            <w:pPr>
              <w:spacing w:after="0" w:line="240" w:lineRule="auto"/>
              <w:jc w:val="both"/>
              <w:rPr>
                <w:sz w:val="22"/>
                <w:szCs w:val="22"/>
                <w:lang w:val="nl-NL"/>
              </w:rPr>
            </w:pPr>
            <w:r>
              <w:rPr>
                <w:sz w:val="22"/>
                <w:szCs w:val="22"/>
              </w:rPr>
              <w:t xml:space="preserve">- Các phòng: TCĐT, </w:t>
            </w:r>
            <w:r w:rsidR="006441B8">
              <w:rPr>
                <w:sz w:val="22"/>
                <w:szCs w:val="22"/>
              </w:rPr>
              <w:t>GCS</w:t>
            </w:r>
            <w:r w:rsidR="00BB22D1">
              <w:rPr>
                <w:sz w:val="22"/>
                <w:szCs w:val="22"/>
              </w:rPr>
              <w:t>;</w:t>
            </w:r>
          </w:p>
          <w:p w:rsidR="002A2731" w:rsidRPr="006257D5" w:rsidRDefault="002A2731" w:rsidP="001E5F08">
            <w:pPr>
              <w:spacing w:after="0" w:line="240" w:lineRule="auto"/>
              <w:jc w:val="both"/>
              <w:rPr>
                <w:sz w:val="22"/>
                <w:szCs w:val="22"/>
                <w:lang w:val="nl-NL"/>
              </w:rPr>
            </w:pPr>
            <w:r w:rsidRPr="006257D5">
              <w:rPr>
                <w:sz w:val="22"/>
                <w:szCs w:val="22"/>
                <w:lang w:val="nl-NL"/>
              </w:rPr>
              <w:t>- Lưu</w:t>
            </w:r>
            <w:r>
              <w:rPr>
                <w:sz w:val="22"/>
                <w:szCs w:val="22"/>
                <w:lang w:val="nl-NL"/>
              </w:rPr>
              <w:t>:</w:t>
            </w:r>
            <w:r w:rsidRPr="006257D5">
              <w:rPr>
                <w:sz w:val="22"/>
                <w:szCs w:val="22"/>
                <w:lang w:val="nl-NL"/>
              </w:rPr>
              <w:t xml:space="preserve"> VT, P.NS.</w:t>
            </w:r>
          </w:p>
          <w:p w:rsidR="002A2731" w:rsidRPr="00DC6FC0" w:rsidRDefault="00DC6FC0" w:rsidP="001D1689">
            <w:pPr>
              <w:spacing w:after="0" w:line="240" w:lineRule="auto"/>
              <w:ind w:right="-45"/>
              <w:rPr>
                <w:i/>
                <w:iCs/>
                <w:sz w:val="22"/>
                <w:szCs w:val="22"/>
                <w:lang w:val="nl-NL"/>
              </w:rPr>
            </w:pPr>
            <w:r w:rsidRPr="00DC6FC0">
              <w:rPr>
                <w:i/>
                <w:iCs/>
                <w:sz w:val="22"/>
                <w:szCs w:val="22"/>
                <w:lang w:val="nl-NL"/>
              </w:rPr>
              <w:t>(</w:t>
            </w:r>
            <w:r w:rsidRPr="00DC6FC0">
              <w:rPr>
                <w:i/>
                <w:iCs/>
                <w:sz w:val="22"/>
                <w:szCs w:val="22"/>
              </w:rPr>
              <w:t>kèm theo dự thảo Quyết định của UBND tỉnh)</w:t>
            </w:r>
          </w:p>
        </w:tc>
        <w:tc>
          <w:tcPr>
            <w:tcW w:w="4595" w:type="dxa"/>
          </w:tcPr>
          <w:p w:rsidR="00E647F0" w:rsidRDefault="00E647F0" w:rsidP="00E647F0">
            <w:pPr>
              <w:spacing w:after="0" w:line="240" w:lineRule="auto"/>
              <w:jc w:val="center"/>
              <w:rPr>
                <w:b/>
                <w:bCs/>
                <w:lang w:val="nl-NL"/>
              </w:rPr>
            </w:pPr>
            <w:r>
              <w:rPr>
                <w:b/>
                <w:bCs/>
                <w:lang w:val="nl-NL"/>
              </w:rPr>
              <w:t xml:space="preserve">KT. </w:t>
            </w:r>
            <w:r w:rsidRPr="006257D5">
              <w:rPr>
                <w:b/>
                <w:bCs/>
                <w:lang w:val="nl-NL"/>
              </w:rPr>
              <w:t>GIÁM ĐỐC</w:t>
            </w:r>
          </w:p>
          <w:p w:rsidR="00E647F0" w:rsidRPr="006257D5" w:rsidRDefault="00E647F0" w:rsidP="00E647F0">
            <w:pPr>
              <w:spacing w:after="0" w:line="240" w:lineRule="auto"/>
              <w:jc w:val="center"/>
              <w:rPr>
                <w:b/>
                <w:bCs/>
                <w:lang w:val="nl-NL"/>
              </w:rPr>
            </w:pPr>
            <w:r>
              <w:rPr>
                <w:b/>
                <w:bCs/>
                <w:lang w:val="nl-NL"/>
              </w:rPr>
              <w:t>PHÓ GIÁM ĐỐC</w:t>
            </w:r>
          </w:p>
          <w:p w:rsidR="00E647F0" w:rsidRDefault="00E647F0" w:rsidP="00E647F0">
            <w:pPr>
              <w:tabs>
                <w:tab w:val="center" w:pos="2242"/>
              </w:tabs>
              <w:spacing w:before="120" w:after="120"/>
              <w:rPr>
                <w:b/>
                <w:bCs/>
                <w:lang w:val="nl-NL"/>
              </w:rPr>
            </w:pPr>
            <w:r>
              <w:rPr>
                <w:b/>
                <w:bCs/>
                <w:lang w:val="nl-NL"/>
              </w:rPr>
              <w:tab/>
            </w:r>
          </w:p>
          <w:p w:rsidR="00E647F0" w:rsidRDefault="00E647F0" w:rsidP="00E647F0">
            <w:pPr>
              <w:tabs>
                <w:tab w:val="center" w:pos="2242"/>
              </w:tabs>
              <w:spacing w:before="120" w:after="120"/>
              <w:jc w:val="center"/>
              <w:rPr>
                <w:b/>
                <w:bCs/>
                <w:lang w:val="nl-NL"/>
              </w:rPr>
            </w:pPr>
            <w:r>
              <w:rPr>
                <w:b/>
                <w:bCs/>
                <w:lang w:val="nl-NL"/>
              </w:rPr>
              <w:t xml:space="preserve"> </w:t>
            </w:r>
          </w:p>
          <w:p w:rsidR="00E647F0" w:rsidRDefault="00E647F0" w:rsidP="00E647F0">
            <w:pPr>
              <w:tabs>
                <w:tab w:val="center" w:pos="2242"/>
              </w:tabs>
              <w:spacing w:before="120" w:after="120"/>
              <w:rPr>
                <w:b/>
                <w:bCs/>
                <w:lang w:val="nl-NL"/>
              </w:rPr>
            </w:pPr>
          </w:p>
          <w:p w:rsidR="002A2731" w:rsidRPr="004E0FF5" w:rsidRDefault="00E647F0" w:rsidP="00E647F0">
            <w:pPr>
              <w:spacing w:before="240" w:after="120"/>
              <w:jc w:val="center"/>
              <w:rPr>
                <w:b/>
                <w:bCs/>
                <w:lang w:val="nl-NL"/>
              </w:rPr>
            </w:pPr>
            <w:r>
              <w:rPr>
                <w:b/>
                <w:bCs/>
                <w:lang w:val="nl-NL"/>
              </w:rPr>
              <w:t xml:space="preserve"> Nguyễn Điền Tân</w:t>
            </w:r>
          </w:p>
        </w:tc>
      </w:tr>
    </w:tbl>
    <w:p w:rsidR="002A2731" w:rsidRPr="004E0FF5" w:rsidRDefault="002A2731" w:rsidP="008119E8">
      <w:pPr>
        <w:spacing w:after="0"/>
        <w:rPr>
          <w:lang w:val="nl-NL"/>
        </w:rPr>
      </w:pPr>
    </w:p>
    <w:sectPr w:rsidR="002A2731" w:rsidRPr="004E0FF5" w:rsidSect="00164EAA">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2E" w:rsidRDefault="00B5562E" w:rsidP="000A3567">
      <w:pPr>
        <w:spacing w:after="0" w:line="240" w:lineRule="auto"/>
      </w:pPr>
      <w:r>
        <w:separator/>
      </w:r>
    </w:p>
  </w:endnote>
  <w:endnote w:type="continuationSeparator" w:id="0">
    <w:p w:rsidR="00B5562E" w:rsidRDefault="00B5562E" w:rsidP="000A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NewRomanPS-ItalicMT">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D2" w:rsidRDefault="00E94BD2">
    <w:pPr>
      <w:pStyle w:val="Footer"/>
      <w:jc w:val="right"/>
    </w:pPr>
  </w:p>
  <w:p w:rsidR="00E94BD2" w:rsidRDefault="00E94B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2E" w:rsidRDefault="00B5562E" w:rsidP="000A3567">
      <w:pPr>
        <w:spacing w:after="0" w:line="240" w:lineRule="auto"/>
      </w:pPr>
      <w:r>
        <w:separator/>
      </w:r>
    </w:p>
  </w:footnote>
  <w:footnote w:type="continuationSeparator" w:id="0">
    <w:p w:rsidR="00B5562E" w:rsidRDefault="00B5562E" w:rsidP="000A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28558"/>
      <w:docPartObj>
        <w:docPartGallery w:val="Page Numbers (Top of Page)"/>
        <w:docPartUnique/>
      </w:docPartObj>
    </w:sdtPr>
    <w:sdtEndPr>
      <w:rPr>
        <w:noProof/>
      </w:rPr>
    </w:sdtEndPr>
    <w:sdtContent>
      <w:p w:rsidR="00D84EE7" w:rsidRDefault="00D84EE7">
        <w:pPr>
          <w:pStyle w:val="Header"/>
          <w:jc w:val="center"/>
        </w:pPr>
        <w:r>
          <w:fldChar w:fldCharType="begin"/>
        </w:r>
        <w:r>
          <w:instrText xml:space="preserve"> PAGE   \* MERGEFORMAT </w:instrText>
        </w:r>
        <w:r>
          <w:fldChar w:fldCharType="separate"/>
        </w:r>
        <w:r w:rsidR="00DC6FC0">
          <w:rPr>
            <w:noProof/>
          </w:rPr>
          <w:t>4</w:t>
        </w:r>
        <w:r>
          <w:rPr>
            <w:noProof/>
          </w:rPr>
          <w:fldChar w:fldCharType="end"/>
        </w:r>
      </w:p>
    </w:sdtContent>
  </w:sdt>
  <w:p w:rsidR="00B23C11" w:rsidRDefault="00B23C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1D2F"/>
    <w:multiLevelType w:val="hybridMultilevel"/>
    <w:tmpl w:val="9B964E14"/>
    <w:lvl w:ilvl="0" w:tplc="63E60E5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B946C3"/>
    <w:multiLevelType w:val="hybridMultilevel"/>
    <w:tmpl w:val="0E3EDEE8"/>
    <w:lvl w:ilvl="0" w:tplc="B7A2705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49865BD7"/>
    <w:multiLevelType w:val="hybridMultilevel"/>
    <w:tmpl w:val="B0C630C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5B744DAD"/>
    <w:multiLevelType w:val="hybridMultilevel"/>
    <w:tmpl w:val="72EC68DE"/>
    <w:lvl w:ilvl="0" w:tplc="1A1284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67"/>
    <w:rsid w:val="0000257A"/>
    <w:rsid w:val="00003528"/>
    <w:rsid w:val="000057E7"/>
    <w:rsid w:val="00006E55"/>
    <w:rsid w:val="00007787"/>
    <w:rsid w:val="00010D19"/>
    <w:rsid w:val="00014AB4"/>
    <w:rsid w:val="000213AD"/>
    <w:rsid w:val="00023B29"/>
    <w:rsid w:val="00025AFD"/>
    <w:rsid w:val="0002739F"/>
    <w:rsid w:val="00027582"/>
    <w:rsid w:val="00027963"/>
    <w:rsid w:val="00031660"/>
    <w:rsid w:val="00034394"/>
    <w:rsid w:val="00034794"/>
    <w:rsid w:val="000372E4"/>
    <w:rsid w:val="00040312"/>
    <w:rsid w:val="0004117B"/>
    <w:rsid w:val="00041984"/>
    <w:rsid w:val="00043A49"/>
    <w:rsid w:val="000447A8"/>
    <w:rsid w:val="0005123E"/>
    <w:rsid w:val="000566AB"/>
    <w:rsid w:val="00056DD1"/>
    <w:rsid w:val="0006187A"/>
    <w:rsid w:val="000618D6"/>
    <w:rsid w:val="00061DAB"/>
    <w:rsid w:val="00067649"/>
    <w:rsid w:val="0008069D"/>
    <w:rsid w:val="0008188F"/>
    <w:rsid w:val="0008351D"/>
    <w:rsid w:val="00084367"/>
    <w:rsid w:val="00085052"/>
    <w:rsid w:val="00086F3A"/>
    <w:rsid w:val="00095F2C"/>
    <w:rsid w:val="00096F20"/>
    <w:rsid w:val="00097686"/>
    <w:rsid w:val="000A3567"/>
    <w:rsid w:val="000B1991"/>
    <w:rsid w:val="000B1D02"/>
    <w:rsid w:val="000B203B"/>
    <w:rsid w:val="000B2144"/>
    <w:rsid w:val="000B334D"/>
    <w:rsid w:val="000B4115"/>
    <w:rsid w:val="000C0651"/>
    <w:rsid w:val="000C2835"/>
    <w:rsid w:val="000C4695"/>
    <w:rsid w:val="000C46E2"/>
    <w:rsid w:val="000D2C76"/>
    <w:rsid w:val="000D32F7"/>
    <w:rsid w:val="000D54B0"/>
    <w:rsid w:val="000D577B"/>
    <w:rsid w:val="000E2931"/>
    <w:rsid w:val="000E4640"/>
    <w:rsid w:val="000E717B"/>
    <w:rsid w:val="000F3DDC"/>
    <w:rsid w:val="00103BE4"/>
    <w:rsid w:val="00110D06"/>
    <w:rsid w:val="001137CF"/>
    <w:rsid w:val="00114FC9"/>
    <w:rsid w:val="00115BDE"/>
    <w:rsid w:val="00120A3D"/>
    <w:rsid w:val="00123844"/>
    <w:rsid w:val="001244A2"/>
    <w:rsid w:val="00131589"/>
    <w:rsid w:val="0013526D"/>
    <w:rsid w:val="0013743A"/>
    <w:rsid w:val="001437B3"/>
    <w:rsid w:val="0014693F"/>
    <w:rsid w:val="001474C2"/>
    <w:rsid w:val="00152A9E"/>
    <w:rsid w:val="00156414"/>
    <w:rsid w:val="001601AC"/>
    <w:rsid w:val="0016335F"/>
    <w:rsid w:val="00163898"/>
    <w:rsid w:val="00164EAA"/>
    <w:rsid w:val="00167CA6"/>
    <w:rsid w:val="001756CC"/>
    <w:rsid w:val="001A5A75"/>
    <w:rsid w:val="001A77EC"/>
    <w:rsid w:val="001B194D"/>
    <w:rsid w:val="001B50B2"/>
    <w:rsid w:val="001C2136"/>
    <w:rsid w:val="001C25A0"/>
    <w:rsid w:val="001C621F"/>
    <w:rsid w:val="001D1689"/>
    <w:rsid w:val="001D1D3F"/>
    <w:rsid w:val="001D7F2E"/>
    <w:rsid w:val="001E23E9"/>
    <w:rsid w:val="001E2BCD"/>
    <w:rsid w:val="001E5F08"/>
    <w:rsid w:val="001F0469"/>
    <w:rsid w:val="001F422F"/>
    <w:rsid w:val="001F43A5"/>
    <w:rsid w:val="001F43A6"/>
    <w:rsid w:val="0020129C"/>
    <w:rsid w:val="00202BCE"/>
    <w:rsid w:val="00202BF5"/>
    <w:rsid w:val="002057A0"/>
    <w:rsid w:val="00206809"/>
    <w:rsid w:val="0021210C"/>
    <w:rsid w:val="002172E7"/>
    <w:rsid w:val="002203DB"/>
    <w:rsid w:val="002274A3"/>
    <w:rsid w:val="00232BCF"/>
    <w:rsid w:val="00235706"/>
    <w:rsid w:val="00243466"/>
    <w:rsid w:val="00243482"/>
    <w:rsid w:val="0024583A"/>
    <w:rsid w:val="00245ED7"/>
    <w:rsid w:val="00246175"/>
    <w:rsid w:val="002508A8"/>
    <w:rsid w:val="00252D91"/>
    <w:rsid w:val="00253284"/>
    <w:rsid w:val="002616C2"/>
    <w:rsid w:val="00262825"/>
    <w:rsid w:val="00262AFD"/>
    <w:rsid w:val="00267A88"/>
    <w:rsid w:val="00283C3D"/>
    <w:rsid w:val="00286743"/>
    <w:rsid w:val="00294606"/>
    <w:rsid w:val="002953F1"/>
    <w:rsid w:val="00295EC3"/>
    <w:rsid w:val="002A2731"/>
    <w:rsid w:val="002B4724"/>
    <w:rsid w:val="002B6537"/>
    <w:rsid w:val="002B6CFC"/>
    <w:rsid w:val="002C1564"/>
    <w:rsid w:val="002C78D7"/>
    <w:rsid w:val="002D3829"/>
    <w:rsid w:val="002F019A"/>
    <w:rsid w:val="002F221C"/>
    <w:rsid w:val="002F3A7A"/>
    <w:rsid w:val="002F6854"/>
    <w:rsid w:val="002F68DD"/>
    <w:rsid w:val="003059B9"/>
    <w:rsid w:val="00306613"/>
    <w:rsid w:val="00315377"/>
    <w:rsid w:val="00316164"/>
    <w:rsid w:val="0032419C"/>
    <w:rsid w:val="00326CB0"/>
    <w:rsid w:val="00334142"/>
    <w:rsid w:val="003432DF"/>
    <w:rsid w:val="003449BA"/>
    <w:rsid w:val="00352864"/>
    <w:rsid w:val="00353B69"/>
    <w:rsid w:val="00355057"/>
    <w:rsid w:val="00357E6F"/>
    <w:rsid w:val="00362779"/>
    <w:rsid w:val="00362D6F"/>
    <w:rsid w:val="00363F89"/>
    <w:rsid w:val="00366A87"/>
    <w:rsid w:val="00371F12"/>
    <w:rsid w:val="00374792"/>
    <w:rsid w:val="00375E51"/>
    <w:rsid w:val="00380231"/>
    <w:rsid w:val="00386066"/>
    <w:rsid w:val="00387F1B"/>
    <w:rsid w:val="00390476"/>
    <w:rsid w:val="00394F4C"/>
    <w:rsid w:val="00395FFD"/>
    <w:rsid w:val="00397B58"/>
    <w:rsid w:val="003B2301"/>
    <w:rsid w:val="003B6A9C"/>
    <w:rsid w:val="003B7628"/>
    <w:rsid w:val="003C0D68"/>
    <w:rsid w:val="003C1849"/>
    <w:rsid w:val="003C4DA8"/>
    <w:rsid w:val="003C68CF"/>
    <w:rsid w:val="003C6B5B"/>
    <w:rsid w:val="003D4D06"/>
    <w:rsid w:val="003E2E0B"/>
    <w:rsid w:val="003E2F60"/>
    <w:rsid w:val="003E3F1D"/>
    <w:rsid w:val="003E6BEC"/>
    <w:rsid w:val="003E7475"/>
    <w:rsid w:val="003E7838"/>
    <w:rsid w:val="003F0DC3"/>
    <w:rsid w:val="003F7BA2"/>
    <w:rsid w:val="003F7BFA"/>
    <w:rsid w:val="00402FE5"/>
    <w:rsid w:val="0040594D"/>
    <w:rsid w:val="00406B48"/>
    <w:rsid w:val="0041032B"/>
    <w:rsid w:val="00412186"/>
    <w:rsid w:val="00415218"/>
    <w:rsid w:val="00416223"/>
    <w:rsid w:val="00420594"/>
    <w:rsid w:val="0042467B"/>
    <w:rsid w:val="00425679"/>
    <w:rsid w:val="00433E9F"/>
    <w:rsid w:val="00434CEA"/>
    <w:rsid w:val="00444244"/>
    <w:rsid w:val="00444492"/>
    <w:rsid w:val="00446AE3"/>
    <w:rsid w:val="004521D7"/>
    <w:rsid w:val="00457EF1"/>
    <w:rsid w:val="00461139"/>
    <w:rsid w:val="00464138"/>
    <w:rsid w:val="00467EDA"/>
    <w:rsid w:val="00471421"/>
    <w:rsid w:val="004769C4"/>
    <w:rsid w:val="00484CC7"/>
    <w:rsid w:val="004862BA"/>
    <w:rsid w:val="00486CA4"/>
    <w:rsid w:val="004903B0"/>
    <w:rsid w:val="00495D9C"/>
    <w:rsid w:val="004A0E31"/>
    <w:rsid w:val="004A2EC4"/>
    <w:rsid w:val="004B0595"/>
    <w:rsid w:val="004B16A5"/>
    <w:rsid w:val="004C5645"/>
    <w:rsid w:val="004C59C1"/>
    <w:rsid w:val="004D5722"/>
    <w:rsid w:val="004D7A9A"/>
    <w:rsid w:val="004E0FF5"/>
    <w:rsid w:val="004E3AAE"/>
    <w:rsid w:val="004E7188"/>
    <w:rsid w:val="004E7E43"/>
    <w:rsid w:val="0051559A"/>
    <w:rsid w:val="00516069"/>
    <w:rsid w:val="00521426"/>
    <w:rsid w:val="005225C8"/>
    <w:rsid w:val="00522A86"/>
    <w:rsid w:val="00526054"/>
    <w:rsid w:val="005315FD"/>
    <w:rsid w:val="00532426"/>
    <w:rsid w:val="00532A25"/>
    <w:rsid w:val="005342C0"/>
    <w:rsid w:val="005345A9"/>
    <w:rsid w:val="00540205"/>
    <w:rsid w:val="005419EB"/>
    <w:rsid w:val="005421E6"/>
    <w:rsid w:val="00546D8A"/>
    <w:rsid w:val="00550529"/>
    <w:rsid w:val="005531FF"/>
    <w:rsid w:val="00555248"/>
    <w:rsid w:val="00561F0D"/>
    <w:rsid w:val="00566442"/>
    <w:rsid w:val="00572980"/>
    <w:rsid w:val="0057390C"/>
    <w:rsid w:val="0057410B"/>
    <w:rsid w:val="00574403"/>
    <w:rsid w:val="0057631A"/>
    <w:rsid w:val="00576D7A"/>
    <w:rsid w:val="005775AA"/>
    <w:rsid w:val="005879E0"/>
    <w:rsid w:val="0059014B"/>
    <w:rsid w:val="00590D24"/>
    <w:rsid w:val="00591A84"/>
    <w:rsid w:val="00592EB8"/>
    <w:rsid w:val="005B0757"/>
    <w:rsid w:val="005C46DA"/>
    <w:rsid w:val="005C701F"/>
    <w:rsid w:val="005D0A0E"/>
    <w:rsid w:val="005D17BA"/>
    <w:rsid w:val="005D33F8"/>
    <w:rsid w:val="005D56C4"/>
    <w:rsid w:val="005E1D16"/>
    <w:rsid w:val="006024FE"/>
    <w:rsid w:val="00607539"/>
    <w:rsid w:val="006145E3"/>
    <w:rsid w:val="0061696E"/>
    <w:rsid w:val="006178C3"/>
    <w:rsid w:val="00620870"/>
    <w:rsid w:val="006257D5"/>
    <w:rsid w:val="00625B8A"/>
    <w:rsid w:val="00634679"/>
    <w:rsid w:val="00635F70"/>
    <w:rsid w:val="00637F36"/>
    <w:rsid w:val="006441B8"/>
    <w:rsid w:val="006452E6"/>
    <w:rsid w:val="0064626B"/>
    <w:rsid w:val="006508B0"/>
    <w:rsid w:val="00651793"/>
    <w:rsid w:val="006520FA"/>
    <w:rsid w:val="0066042C"/>
    <w:rsid w:val="0066173B"/>
    <w:rsid w:val="00663733"/>
    <w:rsid w:val="00663803"/>
    <w:rsid w:val="00672E64"/>
    <w:rsid w:val="00680A9E"/>
    <w:rsid w:val="00684811"/>
    <w:rsid w:val="006954A2"/>
    <w:rsid w:val="006A53AB"/>
    <w:rsid w:val="006A5CE2"/>
    <w:rsid w:val="006A6DBB"/>
    <w:rsid w:val="006A7863"/>
    <w:rsid w:val="006B3EEE"/>
    <w:rsid w:val="006B4DD8"/>
    <w:rsid w:val="006C3784"/>
    <w:rsid w:val="006D4558"/>
    <w:rsid w:val="006E1E85"/>
    <w:rsid w:val="006E275B"/>
    <w:rsid w:val="006F152E"/>
    <w:rsid w:val="006F7937"/>
    <w:rsid w:val="00700DE3"/>
    <w:rsid w:val="00701094"/>
    <w:rsid w:val="00705669"/>
    <w:rsid w:val="00706C49"/>
    <w:rsid w:val="00707D33"/>
    <w:rsid w:val="007164A4"/>
    <w:rsid w:val="00725BF4"/>
    <w:rsid w:val="00731CD0"/>
    <w:rsid w:val="0073202A"/>
    <w:rsid w:val="007341BB"/>
    <w:rsid w:val="00734526"/>
    <w:rsid w:val="00740FF0"/>
    <w:rsid w:val="00741859"/>
    <w:rsid w:val="0074649B"/>
    <w:rsid w:val="00756161"/>
    <w:rsid w:val="00757944"/>
    <w:rsid w:val="0076173E"/>
    <w:rsid w:val="007635BA"/>
    <w:rsid w:val="007646E8"/>
    <w:rsid w:val="00765208"/>
    <w:rsid w:val="0076569B"/>
    <w:rsid w:val="00766662"/>
    <w:rsid w:val="00767527"/>
    <w:rsid w:val="007729D9"/>
    <w:rsid w:val="00773D3F"/>
    <w:rsid w:val="0077572E"/>
    <w:rsid w:val="0077633E"/>
    <w:rsid w:val="00776547"/>
    <w:rsid w:val="00777C1D"/>
    <w:rsid w:val="00780489"/>
    <w:rsid w:val="007828F5"/>
    <w:rsid w:val="00782AA2"/>
    <w:rsid w:val="00783C13"/>
    <w:rsid w:val="00784FE2"/>
    <w:rsid w:val="007864B6"/>
    <w:rsid w:val="007903F5"/>
    <w:rsid w:val="00792744"/>
    <w:rsid w:val="007960F2"/>
    <w:rsid w:val="007A4402"/>
    <w:rsid w:val="007A4596"/>
    <w:rsid w:val="007B04D6"/>
    <w:rsid w:val="007B1A6E"/>
    <w:rsid w:val="007B4F41"/>
    <w:rsid w:val="007C12D0"/>
    <w:rsid w:val="007D3113"/>
    <w:rsid w:val="007D5BCB"/>
    <w:rsid w:val="007E216D"/>
    <w:rsid w:val="007E47C2"/>
    <w:rsid w:val="007F0BBE"/>
    <w:rsid w:val="007F1CAF"/>
    <w:rsid w:val="007F213D"/>
    <w:rsid w:val="007F3650"/>
    <w:rsid w:val="007F57BE"/>
    <w:rsid w:val="007F64A5"/>
    <w:rsid w:val="008031E3"/>
    <w:rsid w:val="00804DF6"/>
    <w:rsid w:val="008119E8"/>
    <w:rsid w:val="008137DC"/>
    <w:rsid w:val="00817595"/>
    <w:rsid w:val="0082103F"/>
    <w:rsid w:val="008263DD"/>
    <w:rsid w:val="00832862"/>
    <w:rsid w:val="008342B1"/>
    <w:rsid w:val="008422B2"/>
    <w:rsid w:val="00843798"/>
    <w:rsid w:val="0085128E"/>
    <w:rsid w:val="00861A40"/>
    <w:rsid w:val="00865D22"/>
    <w:rsid w:val="0087147D"/>
    <w:rsid w:val="00871752"/>
    <w:rsid w:val="00874423"/>
    <w:rsid w:val="008765A8"/>
    <w:rsid w:val="00882444"/>
    <w:rsid w:val="008829EF"/>
    <w:rsid w:val="00884E52"/>
    <w:rsid w:val="00887E78"/>
    <w:rsid w:val="008925B5"/>
    <w:rsid w:val="0089273C"/>
    <w:rsid w:val="0089345B"/>
    <w:rsid w:val="008946B7"/>
    <w:rsid w:val="00896751"/>
    <w:rsid w:val="00896DF5"/>
    <w:rsid w:val="008A059D"/>
    <w:rsid w:val="008A12E3"/>
    <w:rsid w:val="008A52A2"/>
    <w:rsid w:val="008A765D"/>
    <w:rsid w:val="008B068F"/>
    <w:rsid w:val="008B0BB7"/>
    <w:rsid w:val="008B3707"/>
    <w:rsid w:val="008B5E12"/>
    <w:rsid w:val="008C17D7"/>
    <w:rsid w:val="008C4337"/>
    <w:rsid w:val="008D3725"/>
    <w:rsid w:val="008D3973"/>
    <w:rsid w:val="008D40D8"/>
    <w:rsid w:val="008D68F5"/>
    <w:rsid w:val="008D7A4B"/>
    <w:rsid w:val="008E0371"/>
    <w:rsid w:val="008E0E31"/>
    <w:rsid w:val="008E4586"/>
    <w:rsid w:val="008E51C8"/>
    <w:rsid w:val="008F6A22"/>
    <w:rsid w:val="00901192"/>
    <w:rsid w:val="00901275"/>
    <w:rsid w:val="00902E4A"/>
    <w:rsid w:val="009118E3"/>
    <w:rsid w:val="00916EA5"/>
    <w:rsid w:val="009263E8"/>
    <w:rsid w:val="00927224"/>
    <w:rsid w:val="00927BF7"/>
    <w:rsid w:val="00931AEA"/>
    <w:rsid w:val="00934A7F"/>
    <w:rsid w:val="0093545A"/>
    <w:rsid w:val="0093747F"/>
    <w:rsid w:val="0093775C"/>
    <w:rsid w:val="00942DCD"/>
    <w:rsid w:val="009430DB"/>
    <w:rsid w:val="00944228"/>
    <w:rsid w:val="0094601F"/>
    <w:rsid w:val="00951440"/>
    <w:rsid w:val="00956C19"/>
    <w:rsid w:val="0095708B"/>
    <w:rsid w:val="00960D0E"/>
    <w:rsid w:val="00963A97"/>
    <w:rsid w:val="0096491F"/>
    <w:rsid w:val="00966493"/>
    <w:rsid w:val="00967EC1"/>
    <w:rsid w:val="0097110B"/>
    <w:rsid w:val="00975068"/>
    <w:rsid w:val="00975C02"/>
    <w:rsid w:val="00977A5B"/>
    <w:rsid w:val="00980140"/>
    <w:rsid w:val="00986EC1"/>
    <w:rsid w:val="009872BC"/>
    <w:rsid w:val="00987442"/>
    <w:rsid w:val="00987B4B"/>
    <w:rsid w:val="00994433"/>
    <w:rsid w:val="00994E81"/>
    <w:rsid w:val="009963D4"/>
    <w:rsid w:val="009969AD"/>
    <w:rsid w:val="009A0A01"/>
    <w:rsid w:val="009A317D"/>
    <w:rsid w:val="009B1955"/>
    <w:rsid w:val="009B512E"/>
    <w:rsid w:val="009C364B"/>
    <w:rsid w:val="009C4C9C"/>
    <w:rsid w:val="009C7B9B"/>
    <w:rsid w:val="009D1B83"/>
    <w:rsid w:val="009D7AC5"/>
    <w:rsid w:val="009E29A2"/>
    <w:rsid w:val="009E3D69"/>
    <w:rsid w:val="009E7C7C"/>
    <w:rsid w:val="009F51E7"/>
    <w:rsid w:val="00A02A8B"/>
    <w:rsid w:val="00A02DE3"/>
    <w:rsid w:val="00A02F05"/>
    <w:rsid w:val="00A055E9"/>
    <w:rsid w:val="00A059CC"/>
    <w:rsid w:val="00A21573"/>
    <w:rsid w:val="00A2233B"/>
    <w:rsid w:val="00A25C91"/>
    <w:rsid w:val="00A27C32"/>
    <w:rsid w:val="00A3174D"/>
    <w:rsid w:val="00A33174"/>
    <w:rsid w:val="00A36624"/>
    <w:rsid w:val="00A41B3C"/>
    <w:rsid w:val="00A468DA"/>
    <w:rsid w:val="00A600EC"/>
    <w:rsid w:val="00A65C38"/>
    <w:rsid w:val="00A66BBB"/>
    <w:rsid w:val="00A66C54"/>
    <w:rsid w:val="00A72B85"/>
    <w:rsid w:val="00A73A8C"/>
    <w:rsid w:val="00A7757B"/>
    <w:rsid w:val="00A90AC4"/>
    <w:rsid w:val="00A92690"/>
    <w:rsid w:val="00AA082B"/>
    <w:rsid w:val="00AA08D1"/>
    <w:rsid w:val="00AC1CED"/>
    <w:rsid w:val="00AC639A"/>
    <w:rsid w:val="00AD0F07"/>
    <w:rsid w:val="00AD7678"/>
    <w:rsid w:val="00AF3FB4"/>
    <w:rsid w:val="00AF4773"/>
    <w:rsid w:val="00AF55FE"/>
    <w:rsid w:val="00AF7BC4"/>
    <w:rsid w:val="00B00CEA"/>
    <w:rsid w:val="00B10572"/>
    <w:rsid w:val="00B10B3D"/>
    <w:rsid w:val="00B15E11"/>
    <w:rsid w:val="00B206F8"/>
    <w:rsid w:val="00B23C11"/>
    <w:rsid w:val="00B241F1"/>
    <w:rsid w:val="00B249D9"/>
    <w:rsid w:val="00B25183"/>
    <w:rsid w:val="00B3103A"/>
    <w:rsid w:val="00B424C7"/>
    <w:rsid w:val="00B46B9E"/>
    <w:rsid w:val="00B54643"/>
    <w:rsid w:val="00B5491D"/>
    <w:rsid w:val="00B54B0A"/>
    <w:rsid w:val="00B54BDC"/>
    <w:rsid w:val="00B55629"/>
    <w:rsid w:val="00B5562E"/>
    <w:rsid w:val="00B6511E"/>
    <w:rsid w:val="00B665A4"/>
    <w:rsid w:val="00B811B0"/>
    <w:rsid w:val="00B81BB2"/>
    <w:rsid w:val="00B829FD"/>
    <w:rsid w:val="00B84247"/>
    <w:rsid w:val="00B91402"/>
    <w:rsid w:val="00B933E9"/>
    <w:rsid w:val="00B93DDE"/>
    <w:rsid w:val="00B94636"/>
    <w:rsid w:val="00B94F1D"/>
    <w:rsid w:val="00B9516F"/>
    <w:rsid w:val="00BA016A"/>
    <w:rsid w:val="00BA6041"/>
    <w:rsid w:val="00BA6281"/>
    <w:rsid w:val="00BB0590"/>
    <w:rsid w:val="00BB0B9C"/>
    <w:rsid w:val="00BB22D1"/>
    <w:rsid w:val="00BB4120"/>
    <w:rsid w:val="00BB72C7"/>
    <w:rsid w:val="00BC0D9B"/>
    <w:rsid w:val="00BC5FE2"/>
    <w:rsid w:val="00BD0159"/>
    <w:rsid w:val="00BE1EC1"/>
    <w:rsid w:val="00BE28C5"/>
    <w:rsid w:val="00BE2B17"/>
    <w:rsid w:val="00BE4BEA"/>
    <w:rsid w:val="00BE5F40"/>
    <w:rsid w:val="00BE6444"/>
    <w:rsid w:val="00BF34C2"/>
    <w:rsid w:val="00BF3AF3"/>
    <w:rsid w:val="00BF5B95"/>
    <w:rsid w:val="00C00263"/>
    <w:rsid w:val="00C00B9C"/>
    <w:rsid w:val="00C0296A"/>
    <w:rsid w:val="00C065BE"/>
    <w:rsid w:val="00C06952"/>
    <w:rsid w:val="00C076F7"/>
    <w:rsid w:val="00C100CB"/>
    <w:rsid w:val="00C1084F"/>
    <w:rsid w:val="00C21079"/>
    <w:rsid w:val="00C218F9"/>
    <w:rsid w:val="00C22BAD"/>
    <w:rsid w:val="00C22F0C"/>
    <w:rsid w:val="00C274B5"/>
    <w:rsid w:val="00C425EC"/>
    <w:rsid w:val="00C54524"/>
    <w:rsid w:val="00C5525E"/>
    <w:rsid w:val="00C57686"/>
    <w:rsid w:val="00C62C68"/>
    <w:rsid w:val="00C6476C"/>
    <w:rsid w:val="00C652EF"/>
    <w:rsid w:val="00C66C3F"/>
    <w:rsid w:val="00C70C1F"/>
    <w:rsid w:val="00C73550"/>
    <w:rsid w:val="00C80D54"/>
    <w:rsid w:val="00C815B9"/>
    <w:rsid w:val="00C824F8"/>
    <w:rsid w:val="00C85CEE"/>
    <w:rsid w:val="00C96D01"/>
    <w:rsid w:val="00CA098D"/>
    <w:rsid w:val="00CA5DD9"/>
    <w:rsid w:val="00CB55F6"/>
    <w:rsid w:val="00CB7181"/>
    <w:rsid w:val="00CC03F9"/>
    <w:rsid w:val="00CC1FD1"/>
    <w:rsid w:val="00CC2172"/>
    <w:rsid w:val="00CC288A"/>
    <w:rsid w:val="00CC3C79"/>
    <w:rsid w:val="00CC6A6C"/>
    <w:rsid w:val="00CD69C6"/>
    <w:rsid w:val="00CE68B0"/>
    <w:rsid w:val="00CE7A12"/>
    <w:rsid w:val="00CF639C"/>
    <w:rsid w:val="00CF69F9"/>
    <w:rsid w:val="00D04586"/>
    <w:rsid w:val="00D04EE9"/>
    <w:rsid w:val="00D059AE"/>
    <w:rsid w:val="00D074CE"/>
    <w:rsid w:val="00D13723"/>
    <w:rsid w:val="00D168A7"/>
    <w:rsid w:val="00D23132"/>
    <w:rsid w:val="00D2547D"/>
    <w:rsid w:val="00D2606F"/>
    <w:rsid w:val="00D41FE2"/>
    <w:rsid w:val="00D426BE"/>
    <w:rsid w:val="00D4631A"/>
    <w:rsid w:val="00D468A1"/>
    <w:rsid w:val="00D50603"/>
    <w:rsid w:val="00D51470"/>
    <w:rsid w:val="00D52957"/>
    <w:rsid w:val="00D61109"/>
    <w:rsid w:val="00D626AE"/>
    <w:rsid w:val="00D62B25"/>
    <w:rsid w:val="00D811D9"/>
    <w:rsid w:val="00D817DE"/>
    <w:rsid w:val="00D831D5"/>
    <w:rsid w:val="00D84EE7"/>
    <w:rsid w:val="00D90919"/>
    <w:rsid w:val="00D91FB2"/>
    <w:rsid w:val="00D92431"/>
    <w:rsid w:val="00D96674"/>
    <w:rsid w:val="00DA68C4"/>
    <w:rsid w:val="00DB2767"/>
    <w:rsid w:val="00DB5381"/>
    <w:rsid w:val="00DB7CB1"/>
    <w:rsid w:val="00DC1646"/>
    <w:rsid w:val="00DC6FC0"/>
    <w:rsid w:val="00DD0A31"/>
    <w:rsid w:val="00DD284C"/>
    <w:rsid w:val="00DD41CF"/>
    <w:rsid w:val="00DD46E4"/>
    <w:rsid w:val="00DE019B"/>
    <w:rsid w:val="00DE0640"/>
    <w:rsid w:val="00DE59CD"/>
    <w:rsid w:val="00DE7D65"/>
    <w:rsid w:val="00DF69E9"/>
    <w:rsid w:val="00DF7CBA"/>
    <w:rsid w:val="00E000FD"/>
    <w:rsid w:val="00E045B2"/>
    <w:rsid w:val="00E04F1D"/>
    <w:rsid w:val="00E1047F"/>
    <w:rsid w:val="00E10CBD"/>
    <w:rsid w:val="00E1184F"/>
    <w:rsid w:val="00E13446"/>
    <w:rsid w:val="00E14503"/>
    <w:rsid w:val="00E16098"/>
    <w:rsid w:val="00E24FD9"/>
    <w:rsid w:val="00E276A1"/>
    <w:rsid w:val="00E315B2"/>
    <w:rsid w:val="00E32257"/>
    <w:rsid w:val="00E33888"/>
    <w:rsid w:val="00E42EAA"/>
    <w:rsid w:val="00E46B2A"/>
    <w:rsid w:val="00E55459"/>
    <w:rsid w:val="00E63F56"/>
    <w:rsid w:val="00E64046"/>
    <w:rsid w:val="00E647F0"/>
    <w:rsid w:val="00E65648"/>
    <w:rsid w:val="00E677B6"/>
    <w:rsid w:val="00E70CC5"/>
    <w:rsid w:val="00E77E8E"/>
    <w:rsid w:val="00E80A5A"/>
    <w:rsid w:val="00E81F93"/>
    <w:rsid w:val="00E830F7"/>
    <w:rsid w:val="00E83769"/>
    <w:rsid w:val="00E8461A"/>
    <w:rsid w:val="00E85E2B"/>
    <w:rsid w:val="00E919DF"/>
    <w:rsid w:val="00E92429"/>
    <w:rsid w:val="00E92812"/>
    <w:rsid w:val="00E94BD2"/>
    <w:rsid w:val="00E95736"/>
    <w:rsid w:val="00E95AF9"/>
    <w:rsid w:val="00EA012F"/>
    <w:rsid w:val="00EA78F4"/>
    <w:rsid w:val="00EB4EA8"/>
    <w:rsid w:val="00EB5220"/>
    <w:rsid w:val="00EC632F"/>
    <w:rsid w:val="00EC6480"/>
    <w:rsid w:val="00EE09B4"/>
    <w:rsid w:val="00EF2CEA"/>
    <w:rsid w:val="00EF4DD0"/>
    <w:rsid w:val="00F04447"/>
    <w:rsid w:val="00F046C3"/>
    <w:rsid w:val="00F0579F"/>
    <w:rsid w:val="00F103C1"/>
    <w:rsid w:val="00F10987"/>
    <w:rsid w:val="00F137C5"/>
    <w:rsid w:val="00F14084"/>
    <w:rsid w:val="00F1622A"/>
    <w:rsid w:val="00F176D3"/>
    <w:rsid w:val="00F1780F"/>
    <w:rsid w:val="00F21BE1"/>
    <w:rsid w:val="00F2210C"/>
    <w:rsid w:val="00F22F14"/>
    <w:rsid w:val="00F23235"/>
    <w:rsid w:val="00F33246"/>
    <w:rsid w:val="00F348A8"/>
    <w:rsid w:val="00F36605"/>
    <w:rsid w:val="00F3759F"/>
    <w:rsid w:val="00F4045B"/>
    <w:rsid w:val="00F425D0"/>
    <w:rsid w:val="00F433BA"/>
    <w:rsid w:val="00F43CD9"/>
    <w:rsid w:val="00F45859"/>
    <w:rsid w:val="00F46736"/>
    <w:rsid w:val="00F54700"/>
    <w:rsid w:val="00F61B52"/>
    <w:rsid w:val="00F674CB"/>
    <w:rsid w:val="00F7014C"/>
    <w:rsid w:val="00F71B31"/>
    <w:rsid w:val="00F71C52"/>
    <w:rsid w:val="00F734E6"/>
    <w:rsid w:val="00F76B95"/>
    <w:rsid w:val="00F935D6"/>
    <w:rsid w:val="00F936B8"/>
    <w:rsid w:val="00FA0E77"/>
    <w:rsid w:val="00FA1D88"/>
    <w:rsid w:val="00FA1D98"/>
    <w:rsid w:val="00FA51EA"/>
    <w:rsid w:val="00FA5F88"/>
    <w:rsid w:val="00FB2858"/>
    <w:rsid w:val="00FB3026"/>
    <w:rsid w:val="00FB59E3"/>
    <w:rsid w:val="00FB6776"/>
    <w:rsid w:val="00FB7AC8"/>
    <w:rsid w:val="00FC1BAF"/>
    <w:rsid w:val="00FC2402"/>
    <w:rsid w:val="00FC310B"/>
    <w:rsid w:val="00FC6568"/>
    <w:rsid w:val="00FD0022"/>
    <w:rsid w:val="00FD038A"/>
    <w:rsid w:val="00FD16F0"/>
    <w:rsid w:val="00FD2341"/>
    <w:rsid w:val="00FD3320"/>
    <w:rsid w:val="00FD36F1"/>
    <w:rsid w:val="00FD394F"/>
    <w:rsid w:val="00FD74F9"/>
    <w:rsid w:val="00FE55C0"/>
    <w:rsid w:val="00FF2D9B"/>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9F82FC"/>
  <w15:chartTrackingRefBased/>
  <w15:docId w15:val="{6F05E173-4919-467B-BFA5-CF754B7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69"/>
    <w:pPr>
      <w:spacing w:after="200" w:line="276" w:lineRule="auto"/>
    </w:pPr>
    <w:rPr>
      <w:rFonts w:eastAsia="Times New Roman"/>
      <w:sz w:val="28"/>
      <w:szCs w:val="28"/>
    </w:rPr>
  </w:style>
  <w:style w:type="paragraph" w:styleId="Heading4">
    <w:name w:val="heading 4"/>
    <w:basedOn w:val="Normal"/>
    <w:next w:val="Normal"/>
    <w:link w:val="Heading4Char"/>
    <w:qFormat/>
    <w:locked/>
    <w:rsid w:val="00C66C3F"/>
    <w:pPr>
      <w:keepNext/>
      <w:spacing w:after="0" w:line="240" w:lineRule="auto"/>
      <w:jc w:val="center"/>
      <w:outlineLvl w:val="3"/>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3567"/>
    <w:pPr>
      <w:tabs>
        <w:tab w:val="center" w:pos="4513"/>
        <w:tab w:val="right" w:pos="9026"/>
      </w:tabs>
      <w:spacing w:after="0" w:line="240" w:lineRule="auto"/>
    </w:pPr>
    <w:rPr>
      <w:lang w:val="vi-VN"/>
    </w:rPr>
  </w:style>
  <w:style w:type="character" w:customStyle="1" w:styleId="HeaderChar">
    <w:name w:val="Header Char"/>
    <w:link w:val="Header"/>
    <w:uiPriority w:val="99"/>
    <w:locked/>
    <w:rsid w:val="000A3567"/>
    <w:rPr>
      <w:rFonts w:cs="Times New Roman"/>
    </w:rPr>
  </w:style>
  <w:style w:type="paragraph" w:styleId="Footer">
    <w:name w:val="footer"/>
    <w:basedOn w:val="Normal"/>
    <w:link w:val="FooterChar"/>
    <w:uiPriority w:val="99"/>
    <w:rsid w:val="000A3567"/>
    <w:pPr>
      <w:tabs>
        <w:tab w:val="center" w:pos="4513"/>
        <w:tab w:val="right" w:pos="9026"/>
      </w:tabs>
      <w:spacing w:after="0" w:line="240" w:lineRule="auto"/>
    </w:pPr>
    <w:rPr>
      <w:lang w:val="vi-VN"/>
    </w:rPr>
  </w:style>
  <w:style w:type="character" w:customStyle="1" w:styleId="FooterChar">
    <w:name w:val="Footer Char"/>
    <w:link w:val="Footer"/>
    <w:uiPriority w:val="99"/>
    <w:locked/>
    <w:rsid w:val="000A3567"/>
    <w:rPr>
      <w:rFonts w:cs="Times New Roman"/>
    </w:rPr>
  </w:style>
  <w:style w:type="paragraph" w:styleId="BodyTextIndent">
    <w:name w:val="Body Text Indent"/>
    <w:basedOn w:val="Normal"/>
    <w:link w:val="BodyTextIndentChar"/>
    <w:semiHidden/>
    <w:rsid w:val="000A3567"/>
    <w:pPr>
      <w:spacing w:after="0" w:line="240" w:lineRule="auto"/>
      <w:ind w:firstLine="720"/>
      <w:jc w:val="both"/>
    </w:pPr>
    <w:rPr>
      <w:rFonts w:ascii="VNI-Aptima" w:eastAsia="Calibri" w:hAnsi="VNI-Aptima" w:cs="VNI-Aptima"/>
      <w:sz w:val="26"/>
      <w:szCs w:val="26"/>
    </w:rPr>
  </w:style>
  <w:style w:type="character" w:customStyle="1" w:styleId="BodyTextIndentChar">
    <w:name w:val="Body Text Indent Char"/>
    <w:link w:val="BodyTextIndent"/>
    <w:semiHidden/>
    <w:locked/>
    <w:rsid w:val="000A3567"/>
    <w:rPr>
      <w:rFonts w:ascii="VNI-Aptima" w:hAnsi="VNI-Aptima" w:cs="VNI-Aptima"/>
      <w:sz w:val="20"/>
      <w:szCs w:val="20"/>
      <w:lang w:val="en-US" w:eastAsia="x-none"/>
    </w:rPr>
  </w:style>
  <w:style w:type="paragraph" w:styleId="BalloonText">
    <w:name w:val="Balloon Text"/>
    <w:basedOn w:val="Normal"/>
    <w:link w:val="BalloonTextChar"/>
    <w:semiHidden/>
    <w:rsid w:val="00D13723"/>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D13723"/>
    <w:rPr>
      <w:rFonts w:ascii="Segoe UI" w:hAnsi="Segoe UI" w:cs="Segoe UI"/>
      <w:sz w:val="18"/>
      <w:szCs w:val="18"/>
      <w:lang w:val="en-US" w:eastAsia="x-none"/>
    </w:rPr>
  </w:style>
  <w:style w:type="paragraph" w:styleId="ListParagraph">
    <w:name w:val="List Paragraph"/>
    <w:basedOn w:val="Normal"/>
    <w:qFormat/>
    <w:rsid w:val="00882444"/>
    <w:pPr>
      <w:ind w:left="720"/>
    </w:pPr>
  </w:style>
  <w:style w:type="paragraph" w:styleId="NormalWeb">
    <w:name w:val="Normal (Web)"/>
    <w:basedOn w:val="Normal"/>
    <w:link w:val="NormalWebChar"/>
    <w:uiPriority w:val="99"/>
    <w:rsid w:val="00BC0D9B"/>
    <w:pPr>
      <w:spacing w:before="100" w:beforeAutospacing="1" w:after="100" w:afterAutospacing="1" w:line="240" w:lineRule="auto"/>
    </w:pPr>
    <w:rPr>
      <w:rFonts w:eastAsia="Calibri"/>
      <w:sz w:val="24"/>
      <w:szCs w:val="24"/>
    </w:rPr>
  </w:style>
  <w:style w:type="character" w:styleId="Strong">
    <w:name w:val="Strong"/>
    <w:qFormat/>
    <w:rsid w:val="00FC2402"/>
    <w:rPr>
      <w:rFonts w:cs="Times New Roman"/>
      <w:b/>
      <w:bCs/>
    </w:rPr>
  </w:style>
  <w:style w:type="table" w:styleId="TableGrid">
    <w:name w:val="Table Grid"/>
    <w:basedOn w:val="TableNormal"/>
    <w:rsid w:val="00D41F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semiHidden/>
    <w:rsid w:val="00D074CE"/>
    <w:pPr>
      <w:spacing w:after="160" w:line="240" w:lineRule="exact"/>
    </w:pPr>
    <w:rPr>
      <w:rFonts w:ascii="Arial" w:hAnsi="Arial" w:cs="Arial"/>
      <w:sz w:val="22"/>
      <w:szCs w:val="22"/>
    </w:rPr>
  </w:style>
  <w:style w:type="character" w:customStyle="1" w:styleId="fontstyle01">
    <w:name w:val="fontstyle01"/>
    <w:rsid w:val="00D074C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E647F0"/>
    <w:rPr>
      <w:rFonts w:ascii="Times New Roman" w:hAnsi="Times New Roman" w:cs="Times New Roman" w:hint="default"/>
      <w:b w:val="0"/>
      <w:bCs w:val="0"/>
      <w:i/>
      <w:iCs/>
      <w:color w:val="000000"/>
      <w:sz w:val="28"/>
      <w:szCs w:val="28"/>
    </w:rPr>
  </w:style>
  <w:style w:type="paragraph" w:styleId="BodyText2">
    <w:name w:val="Body Text 2"/>
    <w:basedOn w:val="Normal"/>
    <w:link w:val="BodyText2Char"/>
    <w:rsid w:val="00A41B3C"/>
    <w:pPr>
      <w:spacing w:after="120" w:line="480" w:lineRule="auto"/>
    </w:pPr>
  </w:style>
  <w:style w:type="character" w:customStyle="1" w:styleId="BodyText2Char">
    <w:name w:val="Body Text 2 Char"/>
    <w:basedOn w:val="DefaultParagraphFont"/>
    <w:link w:val="BodyText2"/>
    <w:rsid w:val="00A41B3C"/>
    <w:rPr>
      <w:rFonts w:eastAsia="Times New Roman"/>
      <w:sz w:val="28"/>
      <w:szCs w:val="28"/>
    </w:rPr>
  </w:style>
  <w:style w:type="character" w:customStyle="1" w:styleId="Bodytext3">
    <w:name w:val="Body text (3)_"/>
    <w:link w:val="Bodytext31"/>
    <w:uiPriority w:val="99"/>
    <w:rsid w:val="00A41B3C"/>
    <w:rPr>
      <w:b/>
      <w:bCs/>
      <w:sz w:val="28"/>
      <w:szCs w:val="28"/>
      <w:shd w:val="clear" w:color="auto" w:fill="FFFFFF"/>
    </w:rPr>
  </w:style>
  <w:style w:type="character" w:customStyle="1" w:styleId="Bodytext20">
    <w:name w:val="Body text (2)_"/>
    <w:link w:val="Bodytext21"/>
    <w:uiPriority w:val="99"/>
    <w:rsid w:val="00A41B3C"/>
    <w:rPr>
      <w:sz w:val="28"/>
      <w:szCs w:val="28"/>
      <w:shd w:val="clear" w:color="auto" w:fill="FFFFFF"/>
    </w:rPr>
  </w:style>
  <w:style w:type="character" w:customStyle="1" w:styleId="Heading1">
    <w:name w:val="Heading #1_"/>
    <w:link w:val="Heading10"/>
    <w:uiPriority w:val="99"/>
    <w:rsid w:val="00A41B3C"/>
    <w:rPr>
      <w:b/>
      <w:bCs/>
      <w:sz w:val="28"/>
      <w:szCs w:val="28"/>
      <w:shd w:val="clear" w:color="auto" w:fill="FFFFFF"/>
    </w:rPr>
  </w:style>
  <w:style w:type="paragraph" w:customStyle="1" w:styleId="Bodytext31">
    <w:name w:val="Body text (3)1"/>
    <w:basedOn w:val="Normal"/>
    <w:link w:val="Bodytext3"/>
    <w:uiPriority w:val="99"/>
    <w:rsid w:val="00A41B3C"/>
    <w:pPr>
      <w:widowControl w:val="0"/>
      <w:shd w:val="clear" w:color="auto" w:fill="FFFFFF"/>
      <w:spacing w:after="320" w:line="331" w:lineRule="exact"/>
      <w:jc w:val="center"/>
    </w:pPr>
    <w:rPr>
      <w:rFonts w:eastAsia="Calibri"/>
      <w:b/>
      <w:bCs/>
    </w:rPr>
  </w:style>
  <w:style w:type="paragraph" w:customStyle="1" w:styleId="Bodytext21">
    <w:name w:val="Body text (2)1"/>
    <w:basedOn w:val="Normal"/>
    <w:link w:val="Bodytext20"/>
    <w:uiPriority w:val="99"/>
    <w:rsid w:val="00A41B3C"/>
    <w:pPr>
      <w:widowControl w:val="0"/>
      <w:shd w:val="clear" w:color="auto" w:fill="FFFFFF"/>
      <w:spacing w:before="100" w:after="0" w:line="295" w:lineRule="exact"/>
      <w:jc w:val="center"/>
    </w:pPr>
    <w:rPr>
      <w:rFonts w:eastAsia="Calibri"/>
    </w:rPr>
  </w:style>
  <w:style w:type="paragraph" w:customStyle="1" w:styleId="Heading10">
    <w:name w:val="Heading #1"/>
    <w:basedOn w:val="Normal"/>
    <w:link w:val="Heading1"/>
    <w:uiPriority w:val="99"/>
    <w:rsid w:val="00A41B3C"/>
    <w:pPr>
      <w:widowControl w:val="0"/>
      <w:shd w:val="clear" w:color="auto" w:fill="FFFFFF"/>
      <w:spacing w:after="120" w:line="324" w:lineRule="exact"/>
      <w:ind w:firstLine="700"/>
      <w:jc w:val="both"/>
      <w:outlineLvl w:val="0"/>
    </w:pPr>
    <w:rPr>
      <w:rFonts w:eastAsia="Calibri"/>
      <w:b/>
      <w:bCs/>
    </w:rPr>
  </w:style>
  <w:style w:type="character" w:styleId="Hyperlink">
    <w:name w:val="Hyperlink"/>
    <w:basedOn w:val="DefaultParagraphFont"/>
    <w:uiPriority w:val="99"/>
    <w:unhideWhenUsed/>
    <w:rsid w:val="002F221C"/>
    <w:rPr>
      <w:color w:val="0000FF"/>
      <w:u w:val="single"/>
    </w:rPr>
  </w:style>
  <w:style w:type="paragraph" w:customStyle="1" w:styleId="BodyText22">
    <w:name w:val="Body Text 22"/>
    <w:basedOn w:val="Normal"/>
    <w:rsid w:val="00C647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before="60" w:after="60" w:line="288" w:lineRule="auto"/>
      <w:ind w:firstLine="547"/>
      <w:jc w:val="both"/>
    </w:pPr>
    <w:rPr>
      <w:rFonts w:ascii=".VnTime" w:hAnsi=".VnTime" w:cs=".VnTime"/>
    </w:rPr>
  </w:style>
  <w:style w:type="character" w:customStyle="1" w:styleId="NormalWebChar">
    <w:name w:val="Normal (Web) Char"/>
    <w:link w:val="NormalWeb"/>
    <w:uiPriority w:val="99"/>
    <w:rsid w:val="006441B8"/>
    <w:rPr>
      <w:sz w:val="24"/>
      <w:szCs w:val="24"/>
    </w:rPr>
  </w:style>
  <w:style w:type="character" w:customStyle="1" w:styleId="Heading4Char">
    <w:name w:val="Heading 4 Char"/>
    <w:basedOn w:val="DefaultParagraphFont"/>
    <w:link w:val="Heading4"/>
    <w:rsid w:val="00C66C3F"/>
    <w:rPr>
      <w:rFonts w:ascii="VNI-Times" w:eastAsia="Times New Roman" w:hAnsi="VNI-Ti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508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anchor=dieu_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63CC-BDAC-4FB2-8CF5-D8F9EF26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5</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UBND TỈNH AN GIANG</vt:lpstr>
    </vt:vector>
  </TitlesOfParts>
  <Company>00000</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subject/>
  <dc:creator>MAYTINH</dc:creator>
  <cp:keywords/>
  <dc:description/>
  <cp:lastModifiedBy>Admin</cp:lastModifiedBy>
  <cp:revision>108</cp:revision>
  <cp:lastPrinted>2024-11-08T10:05:00Z</cp:lastPrinted>
  <dcterms:created xsi:type="dcterms:W3CDTF">2022-05-30T02:17:00Z</dcterms:created>
  <dcterms:modified xsi:type="dcterms:W3CDTF">2024-11-08T10:05:00Z</dcterms:modified>
</cp:coreProperties>
</file>